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D56" w:rsidRPr="00F85D56" w:rsidRDefault="00F85D56" w:rsidP="00F85D56">
      <w:pPr>
        <w:keepNext/>
        <w:keepLines/>
        <w:autoSpaceDE w:val="0"/>
        <w:spacing w:before="240" w:after="0"/>
        <w:jc w:val="center"/>
        <w:outlineLvl w:val="5"/>
        <w:rPr>
          <w:rFonts w:ascii="Calibri" w:eastAsia="SimSun" w:hAnsi="Calibri" w:cs="Calibri"/>
          <w:b/>
          <w:lang w:eastAsia="zh-CN" w:bidi="hi-IN"/>
        </w:rPr>
      </w:pPr>
      <w:r w:rsidRPr="00F85D56">
        <w:rPr>
          <w:rFonts w:ascii="Calibri" w:eastAsia="SimSun" w:hAnsi="Calibri" w:cs="Calibri"/>
          <w:b/>
          <w:lang w:eastAsia="zh-CN" w:bidi="hi-IN"/>
        </w:rPr>
        <w:t>« Sous-catégorie “Parc d’expositions - Halle d’exposition” »</w:t>
      </w:r>
    </w:p>
    <w:p w:rsidR="00F85D56" w:rsidRPr="00F85D56" w:rsidRDefault="00F85D56" w:rsidP="00F85D56">
      <w:pPr>
        <w:keepNext/>
        <w:keepLines/>
        <w:suppressAutoHyphens/>
        <w:autoSpaceDE w:val="0"/>
        <w:spacing w:before="6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F85D56">
        <w:rPr>
          <w:rFonts w:ascii="Calibri" w:eastAsia="Times New Roman" w:hAnsi="Calibri" w:cs="Calibri"/>
          <w:sz w:val="20"/>
          <w:szCs w:val="20"/>
          <w:lang w:eastAsia="zh-CN"/>
        </w:rPr>
        <w:t>(</w:t>
      </w:r>
      <w:r w:rsidRPr="00F85D56">
        <w:rPr>
          <w:rFonts w:ascii="Calibri" w:eastAsia="Times New Roman" w:hAnsi="Calibri" w:cs="Calibri"/>
          <w:b/>
          <w:sz w:val="20"/>
          <w:szCs w:val="20"/>
          <w:lang w:eastAsia="zh-CN"/>
        </w:rPr>
        <w:t>NAF</w:t>
      </w:r>
      <w:r w:rsidRPr="00F85D56">
        <w:rPr>
          <w:rFonts w:ascii="Calibri" w:eastAsia="Times New Roman" w:hAnsi="Calibri" w:cs="Calibri"/>
          <w:sz w:val="20"/>
          <w:szCs w:val="20"/>
          <w:lang w:eastAsia="zh-CN"/>
        </w:rPr>
        <w:t> : Section L - Services de location et exploitation de biens immobiliers propres ou loués - code</w:t>
      </w:r>
      <w:r w:rsidRPr="00F85D56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68.20B</w:t>
      </w:r>
      <w:r w:rsidRPr="00F85D56">
        <w:rPr>
          <w:rFonts w:ascii="Calibri" w:eastAsia="Times New Roman" w:hAnsi="Calibri" w:cs="Calibri"/>
          <w:sz w:val="20"/>
          <w:szCs w:val="20"/>
          <w:lang w:eastAsia="zh-CN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660"/>
        <w:gridCol w:w="661"/>
        <w:gridCol w:w="660"/>
        <w:gridCol w:w="431"/>
        <w:gridCol w:w="230"/>
        <w:gridCol w:w="661"/>
        <w:gridCol w:w="375"/>
        <w:gridCol w:w="285"/>
        <w:gridCol w:w="291"/>
        <w:gridCol w:w="370"/>
        <w:gridCol w:w="661"/>
        <w:gridCol w:w="1173"/>
        <w:gridCol w:w="1174"/>
        <w:gridCol w:w="1173"/>
        <w:gridCol w:w="1174"/>
        <w:gridCol w:w="93"/>
        <w:gridCol w:w="1081"/>
      </w:tblGrid>
      <w:tr w:rsidR="00F85D56" w:rsidRPr="00F85D56" w:rsidTr="00DE21B4">
        <w:tc>
          <w:tcPr>
            <w:tcW w:w="2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Composante CVC</w:t>
            </w:r>
          </w:p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en kWh/m²/an</w:t>
            </w:r>
          </w:p>
        </w:tc>
        <w:tc>
          <w:tcPr>
            <w:tcW w:w="11153" w:type="dxa"/>
            <w:gridSpan w:val="1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tabs>
                <w:tab w:val="left" w:pos="1786"/>
              </w:tabs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Zones Géographiques</w:t>
            </w:r>
          </w:p>
        </w:tc>
      </w:tr>
      <w:tr w:rsidR="00F85D56" w:rsidRPr="00F85D56" w:rsidTr="00DE21B4">
        <w:tc>
          <w:tcPr>
            <w:tcW w:w="2853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H1a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H1b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H1c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H2a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H2b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H2c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H2d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18"/>
                <w:lang w:eastAsia="zh-CN"/>
              </w:rPr>
              <w:t>H3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Guadeloupe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ind w:left="-137" w:right="-57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Martinique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ind w:left="-59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Guyane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Réunion</w:t>
            </w: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DD6EE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zh-CN"/>
              </w:rPr>
              <w:t>Mayotte</w:t>
            </w:r>
          </w:p>
        </w:tc>
      </w:tr>
      <w:tr w:rsidR="00F85D56" w:rsidRPr="00F85D56" w:rsidTr="00DE21B4">
        <w:tc>
          <w:tcPr>
            <w:tcW w:w="28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&lt; 400 m</w:t>
            </w:r>
          </w:p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100 m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</w:tr>
      <w:tr w:rsidR="00F85D56" w:rsidRPr="00F85D56" w:rsidTr="00DE21B4">
        <w:tc>
          <w:tcPr>
            <w:tcW w:w="28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400 m ≤ Altitude &lt; 800 m</w:t>
            </w:r>
          </w:p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500 m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Cs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DBDB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BDBDB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F85D56" w:rsidRPr="00F85D56" w:rsidTr="00DE21B4">
        <w:tc>
          <w:tcPr>
            <w:tcW w:w="28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800 m ≤ Altitude &lt; 1200 m</w:t>
            </w:r>
          </w:p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900 m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DBDB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DBDB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BDBDB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F85D56" w:rsidRPr="00F85D56" w:rsidTr="00DE21B4">
        <w:tc>
          <w:tcPr>
            <w:tcW w:w="285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1200 m ≤ Altitude &lt; 1600 m</w:t>
            </w:r>
          </w:p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1400 m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4"/>
                <w:lang w:eastAsia="zh-CN"/>
              </w:rPr>
              <w:t>10</w:t>
            </w: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BDBDB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F85D56" w:rsidRPr="00F85D56" w:rsidTr="00DE21B4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ind w:left="-113" w:right="-108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Altitude ≥ 1600 m</w:t>
            </w:r>
          </w:p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Référence 1700 m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</w:p>
        </w:tc>
      </w:tr>
      <w:tr w:rsidR="00F85D56" w:rsidRPr="00F85D56" w:rsidTr="00DE21B4">
        <w:tc>
          <w:tcPr>
            <w:tcW w:w="1400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4"/>
                <w:szCs w:val="16"/>
                <w:lang w:eastAsia="zh-CN"/>
              </w:rPr>
            </w:pPr>
          </w:p>
        </w:tc>
      </w:tr>
      <w:tr w:rsidR="00F85D56" w:rsidRPr="00F85D56" w:rsidTr="00DE21B4"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Composante USE</w:t>
            </w:r>
          </w:p>
        </w:tc>
        <w:tc>
          <w:tcPr>
            <w:tcW w:w="2412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6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USE étalon =</w:t>
            </w:r>
          </w:p>
        </w:tc>
        <w:tc>
          <w:tcPr>
            <w:tcW w:w="5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 xml:space="preserve">31 </w:t>
            </w:r>
          </w:p>
        </w:tc>
        <w:tc>
          <w:tcPr>
            <w:tcW w:w="10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ind w:left="-174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kWh/m²/an</w:t>
            </w:r>
          </w:p>
        </w:tc>
        <w:tc>
          <w:tcPr>
            <w:tcW w:w="586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F85D56" w:rsidRPr="00F85D56" w:rsidTr="00DE21B4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Type d’indicateur d’intensité d’usage</w:t>
            </w:r>
          </w:p>
        </w:tc>
        <w:tc>
          <w:tcPr>
            <w:tcW w:w="5285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Indicateur d’intensité d’usage à renseigner par l’assujetti</w:t>
            </w:r>
          </w:p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Valeur de référence associée à la USE étalon</w:t>
            </w:r>
          </w:p>
        </w:tc>
        <w:tc>
          <w:tcPr>
            <w:tcW w:w="5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Indicateur d’intensité d’usage étalon</w:t>
            </w:r>
          </w:p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</w:p>
        </w:tc>
      </w:tr>
      <w:tr w:rsidR="00F85D56" w:rsidRPr="00F85D56" w:rsidTr="00DE21B4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Indicateurs d’intensité d’usage temporels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120" w:line="240" w:lineRule="auto"/>
              <w:ind w:left="-109" w:right="-114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 xml:space="preserve">Amplitude horaire annuelle (h ouvrées/an) </w:t>
            </w: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936</w:t>
            </w:r>
          </w:p>
        </w:tc>
        <w:tc>
          <w:tcPr>
            <w:tcW w:w="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 xml:space="preserve">Amplitude horaire annuelle étalon 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 xml:space="preserve">(h ouvrées/an) </w:t>
            </w: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Nb_h_ouvrées</w:t>
            </w: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vertAlign w:val="subscript"/>
                <w:lang w:eastAsia="zh-CN"/>
              </w:rPr>
              <w:t>étalon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  <w:t>936</w:t>
            </w:r>
          </w:p>
        </w:tc>
      </w:tr>
      <w:tr w:rsidR="00F85D56" w:rsidRPr="00F85D56" w:rsidTr="00DE21B4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Indicateurs d’intensité d’usage surfaciques</w:t>
            </w:r>
          </w:p>
        </w:tc>
        <w:tc>
          <w:tcPr>
            <w:tcW w:w="11153" w:type="dxa"/>
            <w:gridSpan w:val="1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bdr w:val="none" w:sz="0" w:space="0" w:color="auto" w:frame="1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Pas de modulation surfacique</w:t>
            </w:r>
          </w:p>
        </w:tc>
      </w:tr>
      <w:tr w:rsidR="00F85D56" w:rsidRPr="00F85D56" w:rsidTr="00DE21B4">
        <w:tc>
          <w:tcPr>
            <w:tcW w:w="2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zh-CN"/>
              </w:rPr>
              <w:t>Formule de modulation en fonction du volume d’activité</w:t>
            </w:r>
          </w:p>
        </w:tc>
        <w:tc>
          <w:tcPr>
            <w:tcW w:w="11153" w:type="dxa"/>
            <w:gridSpan w:val="1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  <w:hideMark/>
          </w:tcPr>
          <w:p w:rsidR="00F85D56" w:rsidRPr="00F85D56" w:rsidRDefault="00F85D56" w:rsidP="00F85D56">
            <w:pPr>
              <w:keepNext/>
              <w:keepLines/>
              <w:suppressAutoHyphens/>
              <w:autoSpaceDE w:val="0"/>
              <w:spacing w:before="120" w:after="120" w:line="240" w:lineRule="auto"/>
              <w:ind w:left="-102" w:right="-6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</w:pP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>USE modulé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(kWh/m²/an) = USE étalon x (</w:t>
            </w:r>
            <w:r w:rsidRPr="00F85D5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Nb_h_ouvrées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/ Nb_h_ouvrées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vertAlign w:val="subscript"/>
                <w:lang w:eastAsia="zh-CN"/>
              </w:rPr>
              <w:t>étalon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) + CVC x (</w:t>
            </w:r>
            <w:r w:rsidRPr="00F85D5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</w:rPr>
              <w:t>Nb_h_ouvrées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 xml:space="preserve"> - Nb_h_ouvrées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vertAlign w:val="subscript"/>
                <w:lang w:eastAsia="zh-CN"/>
              </w:rPr>
              <w:t>étalon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)/</w:t>
            </w:r>
            <w:r w:rsidRPr="00F85D56">
              <w:rPr>
                <w:rFonts w:ascii="Calibri" w:eastAsia="Times New Roman" w:hAnsi="Calibri" w:cs="Calibri"/>
                <w:b/>
                <w:sz w:val="20"/>
                <w:szCs w:val="20"/>
                <w:lang w:eastAsia="zh-CN"/>
              </w:rPr>
              <w:t xml:space="preserve"> 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Nb_h_ouvrées</w:t>
            </w:r>
            <w:r w:rsidRPr="00F85D56">
              <w:rPr>
                <w:rFonts w:ascii="Calibri" w:eastAsia="Times New Roman" w:hAnsi="Calibri" w:cs="Calibri"/>
                <w:sz w:val="20"/>
                <w:szCs w:val="20"/>
                <w:vertAlign w:val="subscript"/>
                <w:lang w:eastAsia="zh-CN"/>
              </w:rPr>
              <w:t>étalon</w:t>
            </w:r>
          </w:p>
        </w:tc>
      </w:tr>
    </w:tbl>
    <w:p w:rsidR="00F85D56" w:rsidRPr="00F85D56" w:rsidRDefault="00F85D56" w:rsidP="00F85D56">
      <w:pPr>
        <w:keepNext/>
        <w:keepLines/>
        <w:suppressAutoHyphens/>
        <w:autoSpaceDE w:val="0"/>
        <w:spacing w:after="0" w:line="240" w:lineRule="auto"/>
        <w:ind w:right="-6"/>
        <w:rPr>
          <w:rFonts w:ascii="Calibri" w:eastAsia="Times New Roman" w:hAnsi="Calibri" w:cs="Calibri"/>
          <w:sz w:val="20"/>
          <w:szCs w:val="21"/>
          <w:u w:val="single"/>
          <w:lang w:eastAsia="zh-CN"/>
        </w:rPr>
      </w:pPr>
      <w:r w:rsidRPr="00F85D56">
        <w:rPr>
          <w:rFonts w:ascii="Calibri" w:eastAsia="Times New Roman" w:hAnsi="Calibri" w:cs="Calibri"/>
          <w:sz w:val="20"/>
          <w:szCs w:val="21"/>
          <w:u w:val="single"/>
          <w:lang w:eastAsia="zh-CN"/>
        </w:rPr>
        <w:t xml:space="preserve">Nota : </w:t>
      </w:r>
      <w:r w:rsidRPr="00F85D56">
        <w:rPr>
          <w:rFonts w:ascii="Calibri" w:eastAsia="Times New Roman" w:hAnsi="Calibri" w:cs="Calibri"/>
          <w:b/>
          <w:sz w:val="20"/>
          <w:szCs w:val="20"/>
          <w:bdr w:val="none" w:sz="0" w:space="0" w:color="auto" w:frame="1"/>
          <w:lang w:eastAsia="zh-CN"/>
        </w:rPr>
        <w:t>Nb_h_ouvrées</w:t>
      </w:r>
      <w:r w:rsidRPr="00F85D56">
        <w:rPr>
          <w:rFonts w:ascii="Calibri" w:eastAsia="Times New Roman" w:hAnsi="Calibri" w:cs="Calibri"/>
          <w:b/>
          <w:sz w:val="20"/>
          <w:szCs w:val="20"/>
          <w:bdr w:val="none" w:sz="0" w:space="0" w:color="auto" w:frame="1"/>
          <w:vertAlign w:val="subscript"/>
          <w:lang w:eastAsia="zh-CN"/>
        </w:rPr>
        <w:t>étalon</w:t>
      </w:r>
      <w:r w:rsidRPr="00F85D56" w:rsidDel="00A661E0">
        <w:rPr>
          <w:rFonts w:ascii="Calibri" w:eastAsia="Times New Roman" w:hAnsi="Calibri" w:cs="Calibri"/>
          <w:b/>
          <w:sz w:val="20"/>
          <w:szCs w:val="21"/>
          <w:lang w:eastAsia="zh-CN"/>
        </w:rPr>
        <w:t xml:space="preserve"> </w:t>
      </w:r>
      <w:r w:rsidRPr="00F85D56">
        <w:rPr>
          <w:rFonts w:ascii="Calibri" w:eastAsia="Times New Roman" w:hAnsi="Calibri" w:cs="Calibri"/>
          <w:sz w:val="20"/>
          <w:szCs w:val="21"/>
          <w:lang w:eastAsia="zh-CN"/>
        </w:rPr>
        <w:t>à 1872 h ouvrées/an correspond à 52 semaines ouvrées x 2 jours ouvrés x 9h amplitude quotidienne</w:t>
      </w:r>
    </w:p>
    <w:p w:rsidR="0046580C" w:rsidRDefault="00F85D56" w:rsidP="00F85D56">
      <w:r w:rsidRPr="00F85D56">
        <w:rPr>
          <w:rFonts w:ascii="Calibri" w:eastAsia="Times New Roman" w:hAnsi="Calibri" w:cs="Calibri"/>
          <w:sz w:val="20"/>
          <w:szCs w:val="21"/>
          <w:lang w:eastAsia="zh-CN"/>
        </w:rPr>
        <w:t>CVCx(</w:t>
      </w:r>
      <w:r w:rsidRPr="00F85D56">
        <w:rPr>
          <w:rFonts w:ascii="Calibri" w:eastAsia="Times New Roman" w:hAnsi="Calibri" w:cs="Calibri"/>
          <w:b/>
          <w:sz w:val="20"/>
          <w:szCs w:val="21"/>
          <w:lang w:eastAsia="zh-CN"/>
        </w:rPr>
        <w:t xml:space="preserve">Nb_h_ouvrées - </w:t>
      </w:r>
      <w:r w:rsidRPr="00F85D56">
        <w:rPr>
          <w:rFonts w:ascii="Calibri" w:eastAsia="Times New Roman" w:hAnsi="Calibri" w:cs="Calibri"/>
          <w:sz w:val="20"/>
          <w:szCs w:val="20"/>
          <w:lang w:eastAsia="zh-CN"/>
        </w:rPr>
        <w:t>Nb_h_ouvrées</w:t>
      </w:r>
      <w:r w:rsidRPr="00F85D56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>étalon</w:t>
      </w:r>
      <w:r w:rsidRPr="00F85D56">
        <w:rPr>
          <w:rFonts w:ascii="Calibri" w:eastAsia="Times New Roman" w:hAnsi="Calibri" w:cs="Calibri"/>
          <w:b/>
          <w:sz w:val="20"/>
          <w:szCs w:val="21"/>
          <w:lang w:eastAsia="zh-CN"/>
        </w:rPr>
        <w:t>)/</w:t>
      </w:r>
      <w:r w:rsidRPr="00F85D56">
        <w:rPr>
          <w:rFonts w:ascii="Calibri" w:eastAsia="Times New Roman" w:hAnsi="Calibri" w:cs="Calibri"/>
          <w:sz w:val="20"/>
          <w:szCs w:val="20"/>
          <w:lang w:eastAsia="zh-CN"/>
        </w:rPr>
        <w:t>Nb_h_ouvrées</w:t>
      </w:r>
      <w:r w:rsidRPr="00F85D56">
        <w:rPr>
          <w:rFonts w:ascii="Calibri" w:eastAsia="Times New Roman" w:hAnsi="Calibri" w:cs="Calibri"/>
          <w:sz w:val="20"/>
          <w:szCs w:val="20"/>
          <w:vertAlign w:val="subscript"/>
          <w:lang w:eastAsia="zh-CN"/>
        </w:rPr>
        <w:t xml:space="preserve">étalon </w:t>
      </w:r>
      <w:r w:rsidRPr="00F85D56">
        <w:rPr>
          <w:rFonts w:ascii="Calibri" w:eastAsia="Times New Roman" w:hAnsi="Calibri" w:cs="Calibri"/>
          <w:sz w:val="20"/>
          <w:szCs w:val="21"/>
          <w:lang w:eastAsia="zh-CN"/>
        </w:rPr>
        <w:t>correspond à l’impact indirect sur la composante CVC du nombre d’heure ouvrées réelles par rapport à l'amplitude horaire étalon</w:t>
      </w:r>
    </w:p>
    <w:sectPr w:rsidR="0046580C" w:rsidSect="00F85D56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formatting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56"/>
    <w:rsid w:val="0039432F"/>
    <w:rsid w:val="0046580C"/>
    <w:rsid w:val="004C654F"/>
    <w:rsid w:val="00F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E4D2-3479-4012-BA62-773526C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Aloïs</dc:creator>
  <cp:keywords/>
  <dc:description/>
  <cp:lastModifiedBy>THIEBAUT Aloïs</cp:lastModifiedBy>
  <cp:revision>1</cp:revision>
  <dcterms:created xsi:type="dcterms:W3CDTF">2025-05-07T15:35:00Z</dcterms:created>
  <dcterms:modified xsi:type="dcterms:W3CDTF">2025-05-07T15:35:00Z</dcterms:modified>
</cp:coreProperties>
</file>