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B3F" w:rsidRPr="00F51B3F" w:rsidRDefault="00F51B3F" w:rsidP="00F51B3F">
      <w:pPr>
        <w:keepNext/>
        <w:keepLines/>
        <w:autoSpaceDE w:val="0"/>
        <w:spacing w:before="240" w:after="0"/>
        <w:jc w:val="center"/>
        <w:outlineLvl w:val="5"/>
        <w:rPr>
          <w:rFonts w:ascii="Calibri" w:eastAsia="SimSun" w:hAnsi="Calibri" w:cs="Calibri"/>
          <w:b/>
          <w:lang w:eastAsia="zh-CN" w:bidi="hi-IN"/>
        </w:rPr>
      </w:pPr>
      <w:r w:rsidRPr="00F51B3F">
        <w:rPr>
          <w:rFonts w:ascii="Calibri" w:eastAsia="SimSun" w:hAnsi="Calibri" w:cs="Calibri"/>
          <w:b/>
          <w:lang w:eastAsia="zh-CN" w:bidi="hi-IN"/>
        </w:rPr>
        <w:t>« Sous-catégorie “Etablissement pénitentiaire - Cuisine centrale de production” »</w:t>
      </w:r>
    </w:p>
    <w:p w:rsidR="00F51B3F" w:rsidRPr="00F51B3F" w:rsidRDefault="00F51B3F" w:rsidP="00F51B3F">
      <w:pPr>
        <w:keepNext/>
        <w:keepLines/>
        <w:suppressAutoHyphens/>
        <w:autoSpaceDE w:val="0"/>
        <w:spacing w:before="60" w:after="0" w:line="240" w:lineRule="auto"/>
        <w:jc w:val="center"/>
        <w:rPr>
          <w:rFonts w:ascii="Calibri" w:eastAsia="Arial" w:hAnsi="Calibri" w:cs="Calibri"/>
          <w:b/>
          <w:sz w:val="20"/>
          <w:szCs w:val="20"/>
          <w:lang w:eastAsia="zh-CN"/>
        </w:rPr>
      </w:pPr>
      <w:r w:rsidRPr="00F51B3F">
        <w:rPr>
          <w:rFonts w:ascii="Calibri" w:eastAsia="Times New Roman" w:hAnsi="Calibri" w:cs="Calibri"/>
          <w:sz w:val="20"/>
          <w:szCs w:val="20"/>
          <w:lang w:eastAsia="zh-CN"/>
        </w:rPr>
        <w:t>(</w:t>
      </w:r>
      <w:r w:rsidRPr="00F51B3F">
        <w:rPr>
          <w:rFonts w:ascii="Calibri" w:eastAsia="Times New Roman" w:hAnsi="Calibri" w:cs="Calibri"/>
          <w:b/>
          <w:sz w:val="20"/>
          <w:szCs w:val="20"/>
          <w:lang w:eastAsia="zh-CN"/>
        </w:rPr>
        <w:t>NAF</w:t>
      </w:r>
      <w:r w:rsidRPr="00F51B3F">
        <w:rPr>
          <w:rFonts w:ascii="Calibri" w:eastAsia="Times New Roman" w:hAnsi="Calibri" w:cs="Calibri"/>
          <w:sz w:val="20"/>
          <w:szCs w:val="20"/>
          <w:lang w:eastAsia="zh-CN"/>
        </w:rPr>
        <w:t xml:space="preserve"> : Section O - services d’administration pénitentiaire - </w:t>
      </w:r>
      <w:r w:rsidRPr="00F51B3F">
        <w:rPr>
          <w:rFonts w:ascii="Calibri" w:eastAsia="Times New Roman" w:hAnsi="Calibri" w:cs="Calibri"/>
          <w:b/>
          <w:sz w:val="20"/>
          <w:szCs w:val="20"/>
          <w:lang w:eastAsia="zh-CN"/>
        </w:rPr>
        <w:t>Code 84.23.12</w:t>
      </w:r>
      <w:r w:rsidRPr="00F51B3F">
        <w:rPr>
          <w:rFonts w:ascii="Calibri" w:eastAsia="Times New Roman" w:hAnsi="Calibri" w:cs="Calibri"/>
          <w:sz w:val="20"/>
          <w:szCs w:val="20"/>
          <w:lang w:eastAsia="zh-CN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3"/>
        <w:gridCol w:w="648"/>
        <w:gridCol w:w="649"/>
        <w:gridCol w:w="120"/>
        <w:gridCol w:w="528"/>
        <w:gridCol w:w="649"/>
        <w:gridCol w:w="415"/>
        <w:gridCol w:w="234"/>
        <w:gridCol w:w="626"/>
        <w:gridCol w:w="22"/>
        <w:gridCol w:w="649"/>
        <w:gridCol w:w="649"/>
        <w:gridCol w:w="1258"/>
        <w:gridCol w:w="1258"/>
        <w:gridCol w:w="1258"/>
        <w:gridCol w:w="929"/>
        <w:gridCol w:w="329"/>
        <w:gridCol w:w="1258"/>
      </w:tblGrid>
      <w:tr w:rsidR="00F51B3F" w:rsidRPr="00F51B3F" w:rsidTr="00DE21B4">
        <w:tc>
          <w:tcPr>
            <w:tcW w:w="24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Composante CVC</w:t>
            </w:r>
          </w:p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en kWh/m²/an</w:t>
            </w:r>
          </w:p>
        </w:tc>
        <w:tc>
          <w:tcPr>
            <w:tcW w:w="11479" w:type="dxa"/>
            <w:gridSpan w:val="1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DD6EE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tabs>
                <w:tab w:val="left" w:pos="1786"/>
              </w:tabs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Zones Climatiques</w:t>
            </w:r>
          </w:p>
        </w:tc>
      </w:tr>
      <w:tr w:rsidR="00F51B3F" w:rsidRPr="00F51B3F" w:rsidTr="00DE21B4">
        <w:tc>
          <w:tcPr>
            <w:tcW w:w="249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suppressAutoHyphens/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H1a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H1b</w:t>
            </w: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H1c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H2a</w:t>
            </w:r>
          </w:p>
        </w:tc>
        <w:tc>
          <w:tcPr>
            <w:tcW w:w="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H2b</w:t>
            </w: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H2c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H2d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H3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51B3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zh-CN"/>
              </w:rPr>
              <w:t>Guadeloupe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ind w:left="-137" w:right="-57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51B3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zh-CN"/>
              </w:rPr>
              <w:t>Martinique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ind w:left="-59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51B3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zh-CN"/>
              </w:rPr>
              <w:t>Guyane</w:t>
            </w:r>
          </w:p>
        </w:tc>
        <w:tc>
          <w:tcPr>
            <w:tcW w:w="12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51B3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zh-CN"/>
              </w:rPr>
              <w:t>Réunion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DD6EE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51B3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zh-CN"/>
              </w:rPr>
              <w:t>Mayotte</w:t>
            </w:r>
          </w:p>
        </w:tc>
      </w:tr>
      <w:tr w:rsidR="00F51B3F" w:rsidRPr="00F51B3F" w:rsidTr="00DE21B4">
        <w:tc>
          <w:tcPr>
            <w:tcW w:w="24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Altitude &lt; 400 m</w:t>
            </w:r>
          </w:p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100 m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88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98</w:t>
            </w: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82</w:t>
            </w:r>
          </w:p>
        </w:tc>
        <w:tc>
          <w:tcPr>
            <w:tcW w:w="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118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148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149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87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97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54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101</w:t>
            </w:r>
          </w:p>
        </w:tc>
      </w:tr>
      <w:tr w:rsidR="00F51B3F" w:rsidRPr="00F51B3F" w:rsidTr="00DE21B4">
        <w:tc>
          <w:tcPr>
            <w:tcW w:w="24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400 m ≤ Altitude &lt; 800 m</w:t>
            </w:r>
          </w:p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500 m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93</w:t>
            </w: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85</w:t>
            </w: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97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122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56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69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51B3F" w:rsidRPr="00F51B3F" w:rsidTr="00DE21B4">
        <w:tc>
          <w:tcPr>
            <w:tcW w:w="24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800 m ≤ Altitude &lt; 1200 m</w:t>
            </w:r>
          </w:p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900 m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93</w:t>
            </w: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93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89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104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98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42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51B3F" w:rsidRPr="00F51B3F" w:rsidTr="00DE21B4">
        <w:trPr>
          <w:trHeight w:val="273"/>
        </w:trPr>
        <w:tc>
          <w:tcPr>
            <w:tcW w:w="249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ind w:left="-113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1200 m ≤ Altitude &lt; 1600 m</w:t>
            </w:r>
          </w:p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1400 m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98</w:t>
            </w: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94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64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89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97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86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58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 </w:t>
            </w:r>
          </w:p>
        </w:tc>
      </w:tr>
      <w:tr w:rsidR="00F51B3F" w:rsidRPr="00F51B3F" w:rsidTr="00DE21B4">
        <w:tc>
          <w:tcPr>
            <w:tcW w:w="2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ind w:left="-113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Altitude ≥ 1600 m</w:t>
            </w:r>
          </w:p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1700 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</w:tr>
      <w:tr w:rsidR="00F51B3F" w:rsidRPr="00F51B3F" w:rsidTr="00DE21B4">
        <w:tc>
          <w:tcPr>
            <w:tcW w:w="13972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4"/>
                <w:szCs w:val="16"/>
                <w:lang w:eastAsia="zh-CN"/>
              </w:rPr>
            </w:pPr>
          </w:p>
        </w:tc>
      </w:tr>
      <w:tr w:rsidR="00F51B3F" w:rsidRPr="00F51B3F" w:rsidTr="00DE21B4">
        <w:tc>
          <w:tcPr>
            <w:tcW w:w="24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>Composante USE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</w:pP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USE étalon =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 xml:space="preserve"> 192</w:t>
            </w:r>
          </w:p>
        </w:tc>
        <w:tc>
          <w:tcPr>
            <w:tcW w:w="132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ind w:left="-174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kWh/m²/an</w:t>
            </w:r>
          </w:p>
        </w:tc>
        <w:tc>
          <w:tcPr>
            <w:tcW w:w="629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 w:frame="1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 w:frame="1"/>
                <w:lang w:eastAsia="zh-CN"/>
              </w:rPr>
              <w:t>Part_USE_variable= 0,96</w:t>
            </w:r>
          </w:p>
        </w:tc>
      </w:tr>
      <w:tr w:rsidR="00F51B3F" w:rsidRPr="00F51B3F" w:rsidTr="00DE21B4">
        <w:tc>
          <w:tcPr>
            <w:tcW w:w="2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>Type d’indicateur d’intensité d’usage</w:t>
            </w:r>
          </w:p>
        </w:tc>
        <w:tc>
          <w:tcPr>
            <w:tcW w:w="5189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>Indicateur d’intensité d’usage à renseigner par l’assujetti</w:t>
            </w:r>
          </w:p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Valeur de référence associée à la USE étalon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>Indicateur d’intensité d’usage étalon</w:t>
            </w:r>
          </w:p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</w:pPr>
          </w:p>
        </w:tc>
      </w:tr>
      <w:tr w:rsidR="00F51B3F" w:rsidRPr="00F51B3F" w:rsidTr="00DE21B4">
        <w:tc>
          <w:tcPr>
            <w:tcW w:w="2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Indicateurs d’intensité d’usage temporels</w:t>
            </w:r>
          </w:p>
        </w:tc>
        <w:tc>
          <w:tcPr>
            <w:tcW w:w="3869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120" w:line="240" w:lineRule="auto"/>
              <w:ind w:left="-109" w:right="-114"/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 xml:space="preserve">Amplitude horaire annuelle (h ouvrées/an) </w:t>
            </w:r>
            <w:r w:rsidRPr="00F51B3F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>Nb_h_ouvrées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3 650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 xml:space="preserve">Amplitude horaire annuelle étalon </w:t>
            </w: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 xml:space="preserve">(h ouvrées/an) </w:t>
            </w:r>
            <w:r w:rsidRPr="00F51B3F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>Nb_h_ouvrées</w:t>
            </w:r>
            <w:r w:rsidRPr="00F51B3F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vertAlign w:val="subscript"/>
                <w:lang w:eastAsia="zh-CN"/>
              </w:rPr>
              <w:t>étalon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>3 650</w:t>
            </w:r>
          </w:p>
        </w:tc>
      </w:tr>
      <w:tr w:rsidR="00F51B3F" w:rsidRPr="00F51B3F" w:rsidTr="00DE21B4">
        <w:trPr>
          <w:trHeight w:val="754"/>
        </w:trPr>
        <w:tc>
          <w:tcPr>
            <w:tcW w:w="2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Autres indicateurs d’intensité d’usage</w:t>
            </w:r>
          </w:p>
        </w:tc>
        <w:tc>
          <w:tcPr>
            <w:tcW w:w="3869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120" w:line="240" w:lineRule="auto"/>
              <w:ind w:left="-109" w:right="-114"/>
              <w:jc w:val="center"/>
              <w:rPr>
                <w:rFonts w:ascii="Calibri" w:eastAsia="Times New Roman" w:hAnsi="Calibri" w:cs="Calibri"/>
                <w:sz w:val="20"/>
                <w:szCs w:val="18"/>
                <w:bdr w:val="none" w:sz="0" w:space="0" w:color="auto" w:frame="1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 xml:space="preserve">Nombre de couverts (servis par jour) </w:t>
            </w:r>
            <w:r w:rsidRPr="00F51B3F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>Nb_couverts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2 500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18"/>
                <w:bdr w:val="none" w:sz="0" w:space="0" w:color="auto" w:frame="1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bCs/>
                <w:sz w:val="20"/>
                <w:szCs w:val="18"/>
                <w:bdr w:val="none" w:sz="0" w:space="0" w:color="auto" w:frame="1"/>
                <w:lang w:eastAsia="zh-CN"/>
              </w:rPr>
              <w:t>Pente</w:t>
            </w:r>
            <w:r w:rsidRPr="00F51B3F">
              <w:rPr>
                <w:rFonts w:ascii="Calibri" w:eastAsia="Times New Roman" w:hAnsi="Calibri" w:cs="Calibri"/>
                <w:sz w:val="20"/>
                <w:szCs w:val="18"/>
                <w:bdr w:val="none" w:sz="0" w:space="0" w:color="auto" w:frame="1"/>
                <w:lang w:eastAsia="zh-CN"/>
              </w:rPr>
              <w:t xml:space="preserve"> (kWh/an/(nombre de couverts servis)²) </w:t>
            </w:r>
            <w:r w:rsidRPr="00F51B3F">
              <w:rPr>
                <w:rFonts w:ascii="Calibri" w:eastAsia="Times New Roman" w:hAnsi="Calibri" w:cs="Calibri"/>
                <w:b/>
                <w:sz w:val="20"/>
                <w:szCs w:val="18"/>
                <w:bdr w:val="none" w:sz="0" w:space="0" w:color="auto" w:frame="1"/>
                <w:lang w:eastAsia="zh-CN"/>
              </w:rPr>
              <w:t>A</w:t>
            </w:r>
          </w:p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bdr w:val="none" w:sz="0" w:space="0" w:color="auto" w:frame="1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bCs/>
                <w:sz w:val="20"/>
                <w:szCs w:val="18"/>
                <w:bdr w:val="none" w:sz="0" w:space="0" w:color="auto" w:frame="1"/>
                <w:lang w:eastAsia="zh-CN"/>
              </w:rPr>
              <w:t>Ordonnée à l’origine</w:t>
            </w:r>
            <w:r w:rsidRPr="00F51B3F">
              <w:rPr>
                <w:rFonts w:ascii="Calibri" w:eastAsia="Times New Roman" w:hAnsi="Calibri" w:cs="Calibri"/>
                <w:sz w:val="20"/>
                <w:szCs w:val="18"/>
                <w:bdr w:val="none" w:sz="0" w:space="0" w:color="auto" w:frame="1"/>
                <w:lang w:eastAsia="zh-CN"/>
              </w:rPr>
              <w:t xml:space="preserve"> (kWh/an, par nombre de couverts servis) </w:t>
            </w:r>
            <w:r w:rsidRPr="00F51B3F">
              <w:rPr>
                <w:rFonts w:ascii="Calibri" w:eastAsia="Times New Roman" w:hAnsi="Calibri" w:cs="Calibri"/>
                <w:b/>
                <w:sz w:val="20"/>
                <w:szCs w:val="18"/>
                <w:bdr w:val="none" w:sz="0" w:space="0" w:color="auto" w:frame="1"/>
                <w:lang w:eastAsia="zh-CN"/>
              </w:rPr>
              <w:t>B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>-0,00077</w:t>
            </w:r>
          </w:p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24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>27</w:t>
            </w:r>
          </w:p>
        </w:tc>
      </w:tr>
      <w:tr w:rsidR="00F51B3F" w:rsidRPr="00F51B3F" w:rsidTr="00DE21B4">
        <w:tc>
          <w:tcPr>
            <w:tcW w:w="24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Formule de modulation en fonction du volume d’activité</w:t>
            </w:r>
          </w:p>
        </w:tc>
        <w:tc>
          <w:tcPr>
            <w:tcW w:w="11479" w:type="dxa"/>
            <w:gridSpan w:val="17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:rsidR="00F51B3F" w:rsidRPr="00F51B3F" w:rsidRDefault="00F51B3F" w:rsidP="00F51B3F">
            <w:pPr>
              <w:keepNext/>
              <w:keepLines/>
              <w:suppressAutoHyphens/>
              <w:autoSpaceDE w:val="0"/>
              <w:spacing w:before="120" w:after="120" w:line="240" w:lineRule="auto"/>
              <w:ind w:left="-102" w:right="-6"/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vertAlign w:val="subscript"/>
                <w:lang w:eastAsia="zh-CN"/>
              </w:rPr>
            </w:pPr>
            <w:r w:rsidRPr="00F51B3F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 xml:space="preserve">USE modulé </w:t>
            </w: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(kWh/m²/an) = (</w:t>
            </w:r>
            <w:r w:rsidRPr="00F51B3F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>Nb_h_ouvrées</w:t>
            </w: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/ Nb_h_ouvrées</w:t>
            </w: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vertAlign w:val="subscript"/>
                <w:lang w:eastAsia="zh-CN"/>
              </w:rPr>
              <w:t>étalon</w:t>
            </w: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 xml:space="preserve">) x [1,05 x </w:t>
            </w:r>
            <w:r w:rsidRPr="00F51B3F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 xml:space="preserve">Nb_couverts </w:t>
            </w: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 xml:space="preserve">x (A x </w:t>
            </w:r>
            <w:r w:rsidRPr="00F51B3F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>Nb_couverts</w:t>
            </w: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 xml:space="preserve"> + B) / </w:t>
            </w:r>
            <w:r w:rsidRPr="00F51B3F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 xml:space="preserve">Surface </w:t>
            </w: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+ USE étalon x (1-Part_USE_variable)] + 0,28 x CVC x (</w:t>
            </w:r>
            <w:r w:rsidRPr="00F51B3F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>Nb_h_ouvrées -</w:t>
            </w: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vertAlign w:val="subscript"/>
                <w:lang w:eastAsia="zh-CN"/>
              </w:rPr>
              <w:t xml:space="preserve"> </w:t>
            </w: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Nb_h_ouvrées</w:t>
            </w: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vertAlign w:val="subscript"/>
                <w:lang w:eastAsia="zh-CN"/>
              </w:rPr>
              <w:t>étalon</w:t>
            </w: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) / Nb_h_ouvrées</w:t>
            </w:r>
            <w:r w:rsidRPr="00F51B3F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vertAlign w:val="subscript"/>
                <w:lang w:eastAsia="zh-CN"/>
              </w:rPr>
              <w:t>étalon</w:t>
            </w:r>
          </w:p>
        </w:tc>
      </w:tr>
    </w:tbl>
    <w:p w:rsidR="00F51B3F" w:rsidRPr="00F51B3F" w:rsidRDefault="00F51B3F" w:rsidP="00F51B3F">
      <w:pPr>
        <w:keepNext/>
        <w:keepLines/>
        <w:suppressAutoHyphens/>
        <w:spacing w:after="0" w:line="240" w:lineRule="auto"/>
        <w:ind w:left="142"/>
        <w:rPr>
          <w:rFonts w:ascii="Calibri" w:eastAsia="SimSun" w:hAnsi="Calibri" w:cs="Calibri"/>
          <w:sz w:val="20"/>
          <w:szCs w:val="20"/>
          <w:lang w:eastAsia="zh-CN" w:bidi="hi-IN"/>
        </w:rPr>
      </w:pPr>
      <w:r w:rsidRPr="00F51B3F">
        <w:rPr>
          <w:rFonts w:ascii="Calibri" w:eastAsia="Times New Roman" w:hAnsi="Calibri" w:cs="Calibri"/>
          <w:sz w:val="20"/>
          <w:szCs w:val="20"/>
          <w:lang w:eastAsia="zh-CN"/>
        </w:rPr>
        <w:t>Nota : Surface correspond à la surface de la sous-catégorie renseignée par l’assujetti sur la plateforme OPERAT.</w:t>
      </w:r>
    </w:p>
    <w:p w:rsidR="00F51B3F" w:rsidRPr="00F51B3F" w:rsidRDefault="00F51B3F" w:rsidP="00F51B3F">
      <w:pPr>
        <w:keepNext/>
        <w:keepLines/>
        <w:suppressAutoHyphens/>
        <w:spacing w:after="0" w:line="240" w:lineRule="auto"/>
        <w:ind w:left="142"/>
        <w:rPr>
          <w:rFonts w:ascii="Calibri" w:eastAsia="Times New Roman" w:hAnsi="Calibri" w:cs="Calibri"/>
          <w:sz w:val="20"/>
          <w:szCs w:val="20"/>
          <w:lang w:eastAsia="zh-CN"/>
        </w:rPr>
      </w:pPr>
      <w:r w:rsidRPr="00F51B3F">
        <w:rPr>
          <w:rFonts w:ascii="Calibri" w:eastAsia="Times New Roman" w:hAnsi="Calibri" w:cs="Calibri"/>
          <w:b/>
          <w:sz w:val="20"/>
          <w:szCs w:val="20"/>
          <w:lang w:eastAsia="zh-CN"/>
        </w:rPr>
        <w:t>Nb_h_ouvrées</w:t>
      </w:r>
      <w:r w:rsidRPr="00F51B3F">
        <w:rPr>
          <w:rFonts w:ascii="Calibri" w:eastAsia="Times New Roman" w:hAnsi="Calibri" w:cs="Calibri"/>
          <w:b/>
          <w:sz w:val="20"/>
          <w:szCs w:val="20"/>
          <w:vertAlign w:val="subscript"/>
          <w:lang w:eastAsia="zh-CN"/>
        </w:rPr>
        <w:t>étalon</w:t>
      </w:r>
      <w:r w:rsidRPr="00F51B3F">
        <w:rPr>
          <w:rFonts w:ascii="Calibri" w:eastAsia="Times New Roman" w:hAnsi="Calibri" w:cs="Calibri"/>
          <w:sz w:val="20"/>
          <w:szCs w:val="20"/>
          <w:lang w:eastAsia="zh-CN"/>
        </w:rPr>
        <w:t xml:space="preserve"> à 3 650 h ouvrées/an correspond à 365 jours ouvrés x 10h amplitude quotidienne.</w:t>
      </w:r>
    </w:p>
    <w:p w:rsidR="00F51B3F" w:rsidRPr="00F51B3F" w:rsidRDefault="00F51B3F" w:rsidP="00F51B3F">
      <w:pPr>
        <w:keepNext/>
        <w:keepLines/>
        <w:suppressAutoHyphens/>
        <w:spacing w:after="0" w:line="240" w:lineRule="auto"/>
        <w:ind w:left="142"/>
        <w:rPr>
          <w:rFonts w:ascii="Calibri" w:eastAsia="Times New Roman" w:hAnsi="Calibri" w:cs="Calibri"/>
          <w:sz w:val="20"/>
          <w:szCs w:val="20"/>
          <w:lang w:eastAsia="zh-CN"/>
        </w:rPr>
      </w:pPr>
      <w:r w:rsidRPr="00F51B3F">
        <w:rPr>
          <w:rFonts w:ascii="Calibri" w:eastAsia="Times New Roman" w:hAnsi="Calibri" w:cs="Calibri"/>
          <w:sz w:val="20"/>
          <w:szCs w:val="20"/>
          <w:lang w:eastAsia="zh-CN"/>
        </w:rPr>
        <w:t>La formule de modulation n’est valable que jusqu’à 16 000 couverts servis par jour.</w:t>
      </w:r>
    </w:p>
    <w:p w:rsidR="0046580C" w:rsidRDefault="00F51B3F" w:rsidP="00F51B3F">
      <w:r w:rsidRPr="00F51B3F">
        <w:rPr>
          <w:rFonts w:ascii="Calibri" w:eastAsia="Times New Roman" w:hAnsi="Calibri" w:cs="Calibri"/>
          <w:sz w:val="20"/>
          <w:szCs w:val="20"/>
          <w:lang w:eastAsia="zh-CN"/>
        </w:rPr>
        <w:br w:type="page"/>
      </w:r>
    </w:p>
    <w:sectPr w:rsidR="0046580C" w:rsidSect="00F51B3F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formatting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3F"/>
    <w:rsid w:val="0039432F"/>
    <w:rsid w:val="0046580C"/>
    <w:rsid w:val="004C654F"/>
    <w:rsid w:val="00F5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AC1EC-B7EF-42CE-8F31-BA9E5603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THIEBAUT Aloïs</dc:creator>
  <cp:keywords/>
  <dc:description/>
  <cp:lastModifiedBy>THIEBAUT Aloïs</cp:lastModifiedBy>
  <cp:revision>1</cp:revision>
  <dcterms:created xsi:type="dcterms:W3CDTF">2025-05-07T15:33:00Z</dcterms:created>
  <dcterms:modified xsi:type="dcterms:W3CDTF">2025-05-07T15:33:00Z</dcterms:modified>
</cp:coreProperties>
</file>