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C7" w:rsidRPr="004D52C7" w:rsidRDefault="004D52C7" w:rsidP="004D52C7">
      <w:pPr>
        <w:keepNext/>
        <w:keepLines/>
        <w:autoSpaceDE w:val="0"/>
        <w:spacing w:before="24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4D52C7">
        <w:rPr>
          <w:rFonts w:ascii="Calibri" w:eastAsia="SimSun" w:hAnsi="Calibri" w:cs="Calibri"/>
          <w:b/>
          <w:lang w:eastAsia="zh-CN" w:bidi="hi-IN"/>
        </w:rPr>
        <w:t>« Sous-catégorie “Enseignement primaire - Internat primaire” »</w:t>
      </w:r>
    </w:p>
    <w:p w:rsidR="004D52C7" w:rsidRPr="004D52C7" w:rsidRDefault="004D52C7" w:rsidP="004D52C7">
      <w:pPr>
        <w:keepNext/>
        <w:keepLines/>
        <w:suppressAutoHyphens/>
        <w:autoSpaceDE w:val="0"/>
        <w:spacing w:before="6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4D52C7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4D52C7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4D52C7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P - Enseignement - </w:t>
      </w:r>
      <w:r w:rsidRPr="004D52C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code 85.60Z </w:t>
      </w:r>
      <w:r w:rsidRPr="004D52C7">
        <w:rPr>
          <w:rFonts w:ascii="Calibri" w:eastAsia="Times New Roman" w:hAnsi="Calibri" w:cs="Calibri"/>
          <w:sz w:val="20"/>
          <w:szCs w:val="20"/>
          <w:lang w:eastAsia="zh-CN"/>
        </w:rPr>
        <w:t>activités de soutien à l’enseignement)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764"/>
        <w:gridCol w:w="764"/>
        <w:gridCol w:w="765"/>
        <w:gridCol w:w="415"/>
        <w:gridCol w:w="349"/>
        <w:gridCol w:w="764"/>
        <w:gridCol w:w="692"/>
        <w:gridCol w:w="73"/>
        <w:gridCol w:w="391"/>
        <w:gridCol w:w="143"/>
        <w:gridCol w:w="230"/>
        <w:gridCol w:w="765"/>
        <w:gridCol w:w="1132"/>
        <w:gridCol w:w="1087"/>
        <w:gridCol w:w="1087"/>
        <w:gridCol w:w="1087"/>
        <w:gridCol w:w="193"/>
        <w:gridCol w:w="894"/>
      </w:tblGrid>
      <w:tr w:rsidR="004D52C7" w:rsidRPr="004D52C7" w:rsidTr="00DE21B4">
        <w:tc>
          <w:tcPr>
            <w:tcW w:w="2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CVC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en kWh/m²/an</w:t>
            </w:r>
          </w:p>
        </w:tc>
        <w:tc>
          <w:tcPr>
            <w:tcW w:w="11595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Zones Géographiques</w:t>
            </w:r>
          </w:p>
        </w:tc>
      </w:tr>
      <w:tr w:rsidR="004D52C7" w:rsidRPr="004D52C7" w:rsidTr="00DE21B4">
        <w:tc>
          <w:tcPr>
            <w:tcW w:w="23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bookmarkStart w:id="0" w:name="_Hlk165886202"/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H1a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H1b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H1c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H2a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H2b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H2c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H2d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H3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bCs/>
                <w:sz w:val="18"/>
                <w:szCs w:val="16"/>
                <w:lang w:eastAsia="zh-CN"/>
              </w:rPr>
              <w:t>Guadeloupe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ind w:left="-137" w:right="-57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bCs/>
                <w:sz w:val="18"/>
                <w:szCs w:val="16"/>
                <w:lang w:eastAsia="zh-CN"/>
              </w:rPr>
              <w:t>Martinique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ind w:left="-5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bCs/>
                <w:sz w:val="18"/>
                <w:szCs w:val="16"/>
                <w:lang w:eastAsia="zh-CN"/>
              </w:rPr>
              <w:t>Guyane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bCs/>
                <w:sz w:val="18"/>
                <w:szCs w:val="16"/>
                <w:lang w:eastAsia="zh-CN"/>
              </w:rPr>
              <w:t>Réunion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bCs/>
                <w:sz w:val="18"/>
                <w:szCs w:val="16"/>
                <w:lang w:eastAsia="zh-CN"/>
              </w:rPr>
              <w:t>Mayotte</w:t>
            </w:r>
          </w:p>
        </w:tc>
      </w:tr>
      <w:tr w:rsidR="004D52C7" w:rsidRPr="004D52C7" w:rsidTr="00DE21B4"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&lt; 400 m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100 m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8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9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</w:tr>
      <w:tr w:rsidR="004D52C7" w:rsidRPr="004D52C7" w:rsidTr="00DE21B4"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400 m ≤ Altitude &lt; 800 m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500 m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4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6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800 m ≤ Altitude &lt; 1200 m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900 m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31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1200 m ≤ Altitude &lt; 1600 m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1400 m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63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≥ 1600 m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1700 m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159</w:t>
            </w:r>
          </w:p>
        </w:tc>
        <w:tc>
          <w:tcPr>
            <w:tcW w:w="7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76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138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bookmarkEnd w:id="0"/>
      <w:tr w:rsidR="004D52C7" w:rsidRPr="004D52C7" w:rsidTr="00DE21B4">
        <w:tc>
          <w:tcPr>
            <w:tcW w:w="1397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4"/>
                <w:szCs w:val="4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USE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USE étalon =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ind w:left="-177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kWh/m²/an</w:t>
            </w:r>
          </w:p>
        </w:tc>
        <w:tc>
          <w:tcPr>
            <w:tcW w:w="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Type d’indicateur d’intensité d’usage</w:t>
            </w:r>
          </w:p>
        </w:tc>
        <w:tc>
          <w:tcPr>
            <w:tcW w:w="6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à renseigner par l’assujetti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Valeur de référence associée à la USE étalon</w:t>
            </w:r>
          </w:p>
        </w:tc>
        <w:tc>
          <w:tcPr>
            <w:tcW w:w="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étalon</w:t>
            </w:r>
          </w:p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  <w:tr w:rsidR="004D52C7" w:rsidRPr="004D52C7" w:rsidTr="00DE21B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Indicateurs d’intensité d’usage temporels</w:t>
            </w:r>
          </w:p>
        </w:tc>
        <w:tc>
          <w:tcPr>
            <w:tcW w:w="5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Amplitude horaire annuelle (h ouvrées/an) </w:t>
            </w: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Nb_h_ouvrées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4560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Amplitude horaire annuelle étalon 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(h ouvrées/an) </w:t>
            </w: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  <w:t>étalon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4560</w:t>
            </w:r>
          </w:p>
        </w:tc>
      </w:tr>
      <w:tr w:rsidR="004D52C7" w:rsidRPr="004D52C7" w:rsidTr="00DE21B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Indicateurs d’intensité d’usage surfaciques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Pas de modulation surfacique</w:t>
            </w:r>
          </w:p>
        </w:tc>
      </w:tr>
      <w:tr w:rsidR="004D52C7" w:rsidRPr="004D52C7" w:rsidTr="00DE21B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Formule de modulation en fonction du volume d’activité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7" w:rsidRPr="004D52C7" w:rsidRDefault="004D52C7" w:rsidP="004D52C7">
            <w:pPr>
              <w:keepNext/>
              <w:keepLines/>
              <w:suppressAutoHyphens/>
              <w:autoSpaceDE w:val="0"/>
              <w:spacing w:before="120" w:after="120" w:line="240" w:lineRule="auto"/>
              <w:ind w:left="-101" w:right="-5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4D52C7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USE modulé 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 xml:space="preserve">(kWh/m²/an) = 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USE étalon x (</w:t>
            </w:r>
            <w:r w:rsidRPr="004D52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/ 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vertAlign w:val="subscript"/>
                <w:lang w:eastAsia="zh-CN"/>
              </w:rPr>
              <w:t>étalon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 + 0,28 x CVC x (</w:t>
            </w:r>
            <w:r w:rsidRPr="004D52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- 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vertAlign w:val="subscript"/>
                <w:lang w:eastAsia="zh-CN"/>
              </w:rPr>
              <w:t>étalon</w:t>
            </w:r>
            <w:r w:rsidRPr="004D52C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)/ 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Nb_h_ouvrées</w:t>
            </w:r>
            <w:r w:rsidRPr="004D52C7">
              <w:rPr>
                <w:rFonts w:ascii="Calibri" w:eastAsia="Times New Roman" w:hAnsi="Calibri" w:cs="Calibri"/>
                <w:bCs/>
                <w:sz w:val="20"/>
                <w:szCs w:val="20"/>
                <w:vertAlign w:val="subscript"/>
                <w:lang w:eastAsia="zh-CN"/>
              </w:rPr>
              <w:t>étalon</w:t>
            </w:r>
          </w:p>
        </w:tc>
      </w:tr>
    </w:tbl>
    <w:p w:rsidR="004D52C7" w:rsidRPr="004D52C7" w:rsidRDefault="004D52C7" w:rsidP="004D52C7">
      <w:pPr>
        <w:keepNext/>
        <w:keepLines/>
        <w:suppressAutoHyphens/>
        <w:autoSpaceDE w:val="0"/>
        <w:spacing w:after="0" w:line="240" w:lineRule="auto"/>
        <w:ind w:left="142"/>
        <w:rPr>
          <w:rFonts w:ascii="Calibri" w:eastAsia="Times New Roman" w:hAnsi="Calibri" w:cs="Calibri"/>
          <w:sz w:val="20"/>
          <w:szCs w:val="21"/>
          <w:lang w:eastAsia="zh-CN"/>
        </w:rPr>
      </w:pPr>
      <w:r w:rsidRPr="004D52C7">
        <w:rPr>
          <w:rFonts w:ascii="Calibri" w:eastAsia="Times New Roman" w:hAnsi="Calibri" w:cs="Calibri"/>
          <w:sz w:val="20"/>
          <w:szCs w:val="21"/>
          <w:u w:val="single"/>
          <w:lang w:eastAsia="zh-CN"/>
        </w:rPr>
        <w:t xml:space="preserve">Nota : </w:t>
      </w:r>
      <w:r w:rsidRPr="004D52C7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4D52C7">
        <w:rPr>
          <w:rFonts w:ascii="Calibri" w:eastAsia="Times New Roman" w:hAnsi="Calibri" w:cs="Calibri"/>
          <w:b/>
          <w:sz w:val="20"/>
          <w:szCs w:val="20"/>
          <w:vertAlign w:val="subscript"/>
          <w:lang w:eastAsia="zh-CN"/>
        </w:rPr>
        <w:t>étalon</w:t>
      </w:r>
      <w:r w:rsidRPr="004D52C7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4D52C7">
        <w:rPr>
          <w:rFonts w:ascii="Calibri" w:eastAsia="Times New Roman" w:hAnsi="Calibri" w:cs="Calibri"/>
          <w:sz w:val="20"/>
          <w:szCs w:val="21"/>
          <w:lang w:eastAsia="zh-CN"/>
        </w:rPr>
        <w:t xml:space="preserve">à 4560 h correspond à </w:t>
      </w:r>
      <w:r w:rsidRPr="004D52C7">
        <w:rPr>
          <w:rFonts w:ascii="Calibri" w:eastAsia="Times New Roman" w:hAnsi="Calibri" w:cs="Calibri"/>
          <w:sz w:val="20"/>
          <w:szCs w:val="24"/>
          <w:lang w:eastAsia="zh-CN"/>
        </w:rPr>
        <w:t xml:space="preserve">38 semaines x 5 jours ouvrés x 24 h amplitude quotidienne </w:t>
      </w:r>
    </w:p>
    <w:p w:rsidR="004D52C7" w:rsidRPr="004D52C7" w:rsidRDefault="004D52C7" w:rsidP="004D52C7">
      <w:pPr>
        <w:widowControl w:val="0"/>
        <w:suppressLineNumbers/>
        <w:spacing w:after="0" w:line="240" w:lineRule="auto"/>
        <w:rPr>
          <w:rFonts w:ascii="Calibri" w:eastAsia="Lucida Sans Unicode" w:hAnsi="Calibri" w:cs="Calibri"/>
          <w:sz w:val="20"/>
          <w:lang w:eastAsia="zh-CN"/>
        </w:rPr>
      </w:pPr>
      <w:r w:rsidRPr="004D52C7">
        <w:rPr>
          <w:rFonts w:ascii="Calibri" w:eastAsia="Lucida Sans Unicode" w:hAnsi="Calibri" w:cs="Calibri"/>
          <w:sz w:val="20"/>
          <w:szCs w:val="20"/>
          <w:lang w:eastAsia="zh-CN"/>
        </w:rPr>
        <w:t>0,28xCVCx(</w:t>
      </w:r>
      <w:r w:rsidRPr="004D52C7">
        <w:rPr>
          <w:rFonts w:ascii="Calibri" w:eastAsia="Lucida Sans Unicode" w:hAnsi="Calibri" w:cs="Calibri"/>
          <w:b/>
          <w:sz w:val="20"/>
          <w:szCs w:val="20"/>
          <w:lang w:eastAsia="zh-CN"/>
        </w:rPr>
        <w:t>Nb_h_ouvrées</w:t>
      </w:r>
      <w:r w:rsidRPr="004D52C7">
        <w:rPr>
          <w:rFonts w:ascii="Calibri" w:eastAsia="Lucida Sans Unicode" w:hAnsi="Calibri" w:cs="Calibri"/>
          <w:b/>
          <w:sz w:val="20"/>
          <w:szCs w:val="18"/>
          <w:lang w:eastAsia="zh-CN"/>
        </w:rPr>
        <w:t xml:space="preserve"> -</w:t>
      </w:r>
      <w:r w:rsidRPr="004D52C7">
        <w:rPr>
          <w:rFonts w:ascii="Calibri" w:eastAsia="Lucida Sans Unicode" w:hAnsi="Calibri" w:cs="Calibri"/>
          <w:b/>
          <w:sz w:val="20"/>
          <w:szCs w:val="20"/>
          <w:lang w:eastAsia="zh-CN"/>
        </w:rPr>
        <w:t xml:space="preserve"> </w:t>
      </w:r>
      <w:r w:rsidRPr="004D52C7">
        <w:rPr>
          <w:rFonts w:ascii="Calibri" w:eastAsia="Lucida Sans Unicode" w:hAnsi="Calibri" w:cs="Calibri"/>
          <w:sz w:val="20"/>
          <w:szCs w:val="20"/>
          <w:lang w:eastAsia="zh-CN"/>
        </w:rPr>
        <w:t>Nb_h_ouvrées</w:t>
      </w:r>
      <w:r w:rsidRPr="004D52C7">
        <w:rPr>
          <w:rFonts w:ascii="Calibri" w:eastAsia="Lucida Sans Unicode" w:hAnsi="Calibri" w:cs="Calibri"/>
          <w:sz w:val="20"/>
          <w:szCs w:val="20"/>
          <w:vertAlign w:val="subscript"/>
          <w:lang w:eastAsia="zh-CN"/>
        </w:rPr>
        <w:t>étalon</w:t>
      </w:r>
      <w:r w:rsidRPr="004D52C7">
        <w:rPr>
          <w:rFonts w:ascii="Calibri" w:eastAsia="Lucida Sans Unicode" w:hAnsi="Calibri" w:cs="Calibri"/>
          <w:sz w:val="20"/>
          <w:szCs w:val="20"/>
          <w:lang w:eastAsia="zh-CN"/>
        </w:rPr>
        <w:t>)/ Nb_h_ouvrées</w:t>
      </w:r>
      <w:r w:rsidRPr="004D52C7">
        <w:rPr>
          <w:rFonts w:ascii="Calibri" w:eastAsia="Lucida Sans Unicode" w:hAnsi="Calibri" w:cs="Calibri"/>
          <w:sz w:val="20"/>
          <w:szCs w:val="20"/>
          <w:vertAlign w:val="subscript"/>
          <w:lang w:eastAsia="zh-CN"/>
        </w:rPr>
        <w:t>étalon</w:t>
      </w:r>
      <w:r w:rsidRPr="004D52C7">
        <w:rPr>
          <w:rFonts w:ascii="Calibri" w:eastAsia="Lucida Sans Unicode" w:hAnsi="Calibri" w:cs="Calibri"/>
          <w:sz w:val="20"/>
          <w:szCs w:val="24"/>
          <w:lang w:eastAsia="zh-CN"/>
        </w:rPr>
        <w:t xml:space="preserve"> </w:t>
      </w:r>
      <w:r w:rsidRPr="004D52C7">
        <w:rPr>
          <w:rFonts w:ascii="Calibri" w:eastAsia="Lucida Sans Unicode" w:hAnsi="Calibri" w:cs="Calibri"/>
          <w:sz w:val="20"/>
          <w:szCs w:val="21"/>
          <w:lang w:eastAsia="zh-CN"/>
        </w:rPr>
        <w:t>correspond à l’impact indirect sur la composante CVC du nombre d’heure ouvrées réelles par rapport à l’amplitude horaire étalon</w:t>
      </w:r>
    </w:p>
    <w:p w:rsidR="004D52C7" w:rsidRPr="004D52C7" w:rsidRDefault="004D52C7" w:rsidP="004D52C7">
      <w:pPr>
        <w:keepNext/>
        <w:keepLines/>
        <w:suppressAutoHyphens/>
        <w:spacing w:after="0" w:line="240" w:lineRule="auto"/>
        <w:rPr>
          <w:rFonts w:ascii="Calibri" w:eastAsia="Times New Roman" w:hAnsi="Calibri" w:cs="Calibri"/>
          <w:b/>
          <w:sz w:val="26"/>
          <w:szCs w:val="26"/>
          <w:lang w:eastAsia="zh-CN"/>
        </w:rPr>
      </w:pPr>
      <w:r w:rsidRPr="004D52C7">
        <w:rPr>
          <w:rFonts w:ascii="Calibri" w:eastAsia="Times New Roman" w:hAnsi="Calibri" w:cs="Calibri"/>
          <w:b/>
          <w:sz w:val="26"/>
          <w:szCs w:val="26"/>
          <w:lang w:eastAsia="zh-CN"/>
        </w:rPr>
        <w:br w:type="page"/>
      </w:r>
    </w:p>
    <w:p w:rsidR="0046580C" w:rsidRDefault="0046580C"/>
    <w:sectPr w:rsidR="0046580C" w:rsidSect="004D52C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C7"/>
    <w:rsid w:val="0039432F"/>
    <w:rsid w:val="0046580C"/>
    <w:rsid w:val="004C654F"/>
    <w:rsid w:val="004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8C9B-94FD-4318-A439-03E0DB73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2025-05-07T15:28:00Z</dcterms:created>
  <dcterms:modified xsi:type="dcterms:W3CDTF">2025-05-07T15:28:00Z</dcterms:modified>
</cp:coreProperties>
</file>