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52B" w:rsidRPr="00DF052B" w:rsidRDefault="00DF052B" w:rsidP="00DF052B">
      <w:pPr>
        <w:keepNext/>
        <w:keepLines/>
        <w:autoSpaceDE w:val="0"/>
        <w:spacing w:before="240" w:after="0"/>
        <w:jc w:val="center"/>
        <w:outlineLvl w:val="5"/>
        <w:rPr>
          <w:rFonts w:ascii="Calibri" w:eastAsia="SimSun" w:hAnsi="Calibri" w:cs="Calibri"/>
          <w:b/>
          <w:lang w:eastAsia="zh-CN" w:bidi="hi-IN"/>
        </w:rPr>
      </w:pPr>
      <w:r w:rsidRPr="00DF052B">
        <w:rPr>
          <w:rFonts w:ascii="Calibri" w:eastAsia="SimSun" w:hAnsi="Calibri" w:cs="Calibri"/>
          <w:b/>
          <w:lang w:eastAsia="zh-CN" w:bidi="hi-IN"/>
        </w:rPr>
        <w:t>« Sous-catégorie “Drive isolé non-alimentaire - Valeur par défaut” »</w:t>
      </w:r>
    </w:p>
    <w:p w:rsidR="00DF052B" w:rsidRPr="00DF052B" w:rsidRDefault="00DF052B" w:rsidP="00DF052B">
      <w:pPr>
        <w:keepNext/>
        <w:keepLines/>
        <w:suppressAutoHyphens/>
        <w:autoSpaceDE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DF052B">
        <w:rPr>
          <w:rFonts w:ascii="Calibri" w:eastAsia="Times New Roman" w:hAnsi="Calibri" w:cs="Calibri"/>
          <w:sz w:val="20"/>
          <w:szCs w:val="20"/>
          <w:lang w:eastAsia="zh-CN"/>
        </w:rPr>
        <w:t>(</w:t>
      </w:r>
      <w:r w:rsidRPr="00DF052B">
        <w:rPr>
          <w:rFonts w:ascii="Calibri" w:eastAsia="Times New Roman" w:hAnsi="Calibri" w:cs="Calibri"/>
          <w:b/>
          <w:sz w:val="20"/>
          <w:szCs w:val="20"/>
          <w:lang w:eastAsia="zh-CN"/>
        </w:rPr>
        <w:t>NAF</w:t>
      </w:r>
      <w:r w:rsidRPr="00DF052B">
        <w:rPr>
          <w:rFonts w:ascii="Calibri" w:eastAsia="Times New Roman" w:hAnsi="Calibri" w:cs="Calibri"/>
          <w:sz w:val="20"/>
          <w:szCs w:val="20"/>
          <w:lang w:eastAsia="zh-CN"/>
        </w:rPr>
        <w:t xml:space="preserve"> : Section G - Commerce spécialisé - </w:t>
      </w:r>
      <w:r w:rsidRPr="00DF052B">
        <w:rPr>
          <w:rFonts w:ascii="Calibri" w:eastAsia="Times New Roman" w:hAnsi="Calibri" w:cs="Calibri"/>
          <w:b/>
          <w:sz w:val="20"/>
          <w:szCs w:val="20"/>
          <w:lang w:eastAsia="zh-CN"/>
        </w:rPr>
        <w:t>code 47-xx)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95"/>
        <w:gridCol w:w="626"/>
        <w:gridCol w:w="627"/>
        <w:gridCol w:w="626"/>
        <w:gridCol w:w="247"/>
        <w:gridCol w:w="380"/>
        <w:gridCol w:w="627"/>
        <w:gridCol w:w="411"/>
        <w:gridCol w:w="215"/>
        <w:gridCol w:w="257"/>
        <w:gridCol w:w="215"/>
        <w:gridCol w:w="155"/>
        <w:gridCol w:w="627"/>
        <w:gridCol w:w="1312"/>
        <w:gridCol w:w="1313"/>
        <w:gridCol w:w="1313"/>
        <w:gridCol w:w="1313"/>
        <w:gridCol w:w="34"/>
        <w:gridCol w:w="1279"/>
      </w:tblGrid>
      <w:tr w:rsidR="00DF052B" w:rsidRPr="00DF052B" w:rsidTr="00DF052B"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Composante CVC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en kWh/m²/an</w:t>
            </w:r>
          </w:p>
        </w:tc>
        <w:tc>
          <w:tcPr>
            <w:tcW w:w="11577" w:type="dxa"/>
            <w:gridSpan w:val="1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tabs>
                <w:tab w:val="left" w:pos="1786"/>
              </w:tabs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Zones Climatiques</w:t>
            </w:r>
          </w:p>
        </w:tc>
      </w:tr>
      <w:tr w:rsidR="00DF052B" w:rsidRPr="00DF052B" w:rsidTr="00DF052B">
        <w:tc>
          <w:tcPr>
            <w:tcW w:w="239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rPr>
                <w:rFonts w:ascii="Calibri" w:eastAsia="Calibri" w:hAnsi="Calibri" w:cs="Calibri"/>
                <w:bdr w:val="none" w:sz="0" w:space="0" w:color="auto" w:frame="1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H1a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H1b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H1c</w:t>
            </w:r>
          </w:p>
        </w:tc>
        <w:tc>
          <w:tcPr>
            <w:tcW w:w="6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H2a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H2b</w:t>
            </w: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H2c</w:t>
            </w:r>
          </w:p>
        </w:tc>
        <w:tc>
          <w:tcPr>
            <w:tcW w:w="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H2d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H3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Guadeloupe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ind w:left="-137" w:right="-57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Martinique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ind w:left="-59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Guyane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Réunion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Mayotte</w:t>
            </w:r>
          </w:p>
        </w:tc>
      </w:tr>
      <w:tr w:rsidR="00DF052B" w:rsidRPr="00DF052B" w:rsidTr="00DE21B4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Altitude &lt; 400 m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100 m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23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24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24</w:t>
            </w:r>
          </w:p>
        </w:tc>
        <w:tc>
          <w:tcPr>
            <w:tcW w:w="6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18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18</w:t>
            </w: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15</w:t>
            </w:r>
          </w:p>
        </w:tc>
        <w:tc>
          <w:tcPr>
            <w:tcW w:w="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18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9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7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7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8</w:t>
            </w:r>
          </w:p>
        </w:tc>
      </w:tr>
      <w:tr w:rsidR="00DF052B" w:rsidRPr="00DF052B" w:rsidTr="00DF052B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400 m ≤ Altitude &lt; 800 m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500 m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34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35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34</w:t>
            </w:r>
          </w:p>
        </w:tc>
        <w:tc>
          <w:tcPr>
            <w:tcW w:w="6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29</w:t>
            </w: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25</w:t>
            </w:r>
          </w:p>
        </w:tc>
        <w:tc>
          <w:tcPr>
            <w:tcW w:w="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27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17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</w:tr>
      <w:tr w:rsidR="00DF052B" w:rsidRPr="00DF052B" w:rsidTr="00DF052B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800 m ≤ Altitude &lt; 1200 m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900 m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49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46</w:t>
            </w:r>
          </w:p>
        </w:tc>
        <w:tc>
          <w:tcPr>
            <w:tcW w:w="6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37</w:t>
            </w:r>
          </w:p>
        </w:tc>
        <w:tc>
          <w:tcPr>
            <w:tcW w:w="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39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27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</w:tr>
      <w:tr w:rsidR="00DF052B" w:rsidRPr="00DF052B" w:rsidTr="00DF052B"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ind w:left="-113" w:right="-108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1200 m ≤ Altitude &lt; 1600 m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1400 m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70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65</w:t>
            </w:r>
          </w:p>
        </w:tc>
        <w:tc>
          <w:tcPr>
            <w:tcW w:w="6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54</w:t>
            </w:r>
          </w:p>
        </w:tc>
        <w:tc>
          <w:tcPr>
            <w:tcW w:w="6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55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42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3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sz w:val="16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Cs/>
                <w:color w:val="00B050"/>
                <w:lang w:eastAsia="zh-CN"/>
              </w:rPr>
              <w:t> </w:t>
            </w:r>
          </w:p>
        </w:tc>
      </w:tr>
      <w:tr w:rsidR="00DF052B" w:rsidRPr="00DF052B" w:rsidTr="00DF052B"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ind w:left="-113" w:right="-108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Altitude ≥ 1600 m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Référence 1700 m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77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67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color w:val="000000"/>
                <w:szCs w:val="24"/>
                <w:lang w:eastAsia="zh-CN"/>
              </w:rPr>
              <w:t>52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</w:p>
        </w:tc>
      </w:tr>
      <w:tr w:rsidR="00DF052B" w:rsidRPr="00DF052B" w:rsidTr="00DF052B">
        <w:tc>
          <w:tcPr>
            <w:tcW w:w="13972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sz w:val="4"/>
                <w:szCs w:val="4"/>
                <w:bdr w:val="none" w:sz="0" w:space="0" w:color="auto" w:frame="1"/>
                <w:lang w:eastAsia="zh-CN"/>
              </w:rPr>
            </w:pPr>
          </w:p>
        </w:tc>
      </w:tr>
      <w:tr w:rsidR="00DF052B" w:rsidRPr="00DF052B" w:rsidTr="00DF052B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60" w:after="60" w:line="257" w:lineRule="auto"/>
              <w:jc w:val="center"/>
              <w:rPr>
                <w:rFonts w:ascii="Calibri" w:hAnsi="Calibri" w:cs="Calibri"/>
                <w:b/>
                <w:bdr w:val="none" w:sz="0" w:space="0" w:color="auto" w:frame="1"/>
              </w:rPr>
            </w:pPr>
            <w:r w:rsidRPr="00DF052B">
              <w:rPr>
                <w:rFonts w:ascii="Calibri" w:hAnsi="Calibri" w:cs="Calibri"/>
                <w:b/>
                <w:lang w:eastAsia="zh-CN"/>
              </w:rPr>
              <w:t>Composante USE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60" w:after="60" w:line="257" w:lineRule="auto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60" w:after="60" w:line="257" w:lineRule="auto"/>
              <w:jc w:val="right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>USE étalon =</w:t>
            </w: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60" w:after="60" w:line="257" w:lineRule="auto"/>
              <w:jc w:val="center"/>
              <w:rPr>
                <w:rFonts w:ascii="Calibri" w:hAnsi="Calibri" w:cs="Calibri"/>
                <w:b/>
                <w:color w:val="3366FF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lang w:eastAsia="zh-CN"/>
              </w:rPr>
              <w:t>29</w:t>
            </w:r>
            <w:r w:rsidRPr="00DF052B">
              <w:rPr>
                <w:rFonts w:ascii="Calibri" w:hAnsi="Calibri" w:cs="Calibri"/>
                <w:b/>
                <w:color w:val="0000FF"/>
                <w:lang w:eastAsia="zh-CN"/>
              </w:rPr>
              <w:t xml:space="preserve"> </w:t>
            </w:r>
          </w:p>
        </w:tc>
        <w:tc>
          <w:tcPr>
            <w:tcW w:w="99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60" w:after="60" w:line="257" w:lineRule="auto"/>
              <w:ind w:left="-174"/>
              <w:jc w:val="right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>kWh/m²/an</w:t>
            </w:r>
          </w:p>
        </w:tc>
        <w:tc>
          <w:tcPr>
            <w:tcW w:w="656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60" w:after="60" w:line="257" w:lineRule="auto"/>
              <w:jc w:val="center"/>
              <w:rPr>
                <w:rFonts w:ascii="Calibri" w:hAnsi="Calibri" w:cs="Calibri"/>
                <w:b/>
                <w:bCs/>
                <w:bdr w:val="none" w:sz="0" w:space="0" w:color="auto" w:frame="1"/>
                <w:lang w:eastAsia="zh-CN"/>
              </w:rPr>
            </w:pPr>
          </w:p>
        </w:tc>
      </w:tr>
      <w:tr w:rsidR="00DF052B" w:rsidRPr="00DF052B" w:rsidTr="00DF052B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lang w:eastAsia="zh-CN"/>
              </w:rPr>
              <w:t>Type d’indicateur d’intensité d’usage</w:t>
            </w:r>
          </w:p>
        </w:tc>
        <w:tc>
          <w:tcPr>
            <w:tcW w:w="5013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052B" w:rsidRPr="00DF052B" w:rsidRDefault="00DF052B" w:rsidP="00DF052B">
            <w:pPr>
              <w:widowControl w:val="0"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DF052B">
              <w:rPr>
                <w:rFonts w:ascii="Calibri" w:hAnsi="Calibri" w:cs="Calibri"/>
                <w:b/>
                <w:lang w:eastAsia="zh-CN"/>
              </w:rPr>
              <w:t>Indicateur d’intensité d’usage à renseigner par l’assujetti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>Valeur de référence associée à la USE étalon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052B" w:rsidRPr="00DF052B" w:rsidRDefault="00DF052B" w:rsidP="00DF052B">
            <w:pPr>
              <w:widowControl w:val="0"/>
              <w:suppressAutoHyphens/>
              <w:autoSpaceDE w:val="0"/>
              <w:spacing w:before="120"/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DF052B">
              <w:rPr>
                <w:rFonts w:ascii="Calibri" w:hAnsi="Calibri" w:cs="Calibri"/>
                <w:b/>
                <w:lang w:eastAsia="zh-CN"/>
              </w:rPr>
              <w:t>Indicateur d’intensité d’usage étalon</w:t>
            </w:r>
          </w:p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</w:p>
        </w:tc>
      </w:tr>
      <w:tr w:rsidR="00DF052B" w:rsidRPr="00DF052B" w:rsidTr="00DE21B4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>Indicateurs d’intensité d’usage temporels</w:t>
            </w:r>
          </w:p>
        </w:tc>
        <w:tc>
          <w:tcPr>
            <w:tcW w:w="4231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 w:after="120"/>
              <w:ind w:left="-112" w:right="-99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 xml:space="preserve">Amplitude horaire annuelle (h ouvrées/an) </w:t>
            </w:r>
            <w:r w:rsidRPr="00DF052B">
              <w:rPr>
                <w:rFonts w:ascii="Calibri" w:hAnsi="Calibri" w:cs="Calibri"/>
                <w:b/>
                <w:lang w:eastAsia="zh-CN"/>
              </w:rPr>
              <w:t>Nb_h_ouvrées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>4 368</w:t>
            </w:r>
          </w:p>
        </w:tc>
        <w:tc>
          <w:tcPr>
            <w:tcW w:w="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lang w:eastAsia="zh-CN"/>
              </w:rPr>
              <w:t xml:space="preserve">Amplitude horaire annuelle étalon </w:t>
            </w:r>
            <w:r w:rsidRPr="00DF052B">
              <w:rPr>
                <w:rFonts w:ascii="Calibri" w:hAnsi="Calibri" w:cs="Calibri"/>
                <w:lang w:eastAsia="zh-CN"/>
              </w:rPr>
              <w:t xml:space="preserve">(h ouvrées/an) </w:t>
            </w:r>
            <w:r w:rsidRPr="00DF052B">
              <w:rPr>
                <w:rFonts w:ascii="Calibri" w:hAnsi="Calibri" w:cs="Calibri"/>
                <w:b/>
                <w:lang w:eastAsia="zh-CN"/>
              </w:rPr>
              <w:t>Nb_h_ouvrées</w:t>
            </w:r>
            <w:r w:rsidRPr="00DF052B">
              <w:rPr>
                <w:rFonts w:ascii="Calibri" w:hAnsi="Calibri" w:cs="Calibri"/>
                <w:b/>
                <w:vertAlign w:val="subscript"/>
                <w:lang w:eastAsia="zh-CN"/>
              </w:rPr>
              <w:t>étalon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lang w:eastAsia="zh-CN"/>
              </w:rPr>
              <w:t>4 368</w:t>
            </w:r>
          </w:p>
        </w:tc>
      </w:tr>
      <w:tr w:rsidR="00DF052B" w:rsidRPr="00DF052B" w:rsidTr="00DE21B4">
        <w:tblPrEx>
          <w:tblCellMar>
            <w:right w:w="57" w:type="dxa"/>
          </w:tblCellMar>
        </w:tblPrEx>
        <w:trPr>
          <w:trHeight w:val="379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>Indicateurs d’intensité d’usage surfaciques</w:t>
            </w:r>
          </w:p>
        </w:tc>
        <w:tc>
          <w:tcPr>
            <w:tcW w:w="11577" w:type="dxa"/>
            <w:gridSpan w:val="18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 w:after="120"/>
              <w:jc w:val="center"/>
              <w:rPr>
                <w:rFonts w:ascii="Calibri" w:hAnsi="Calibri" w:cs="Calibri"/>
                <w:b/>
                <w:highlight w:val="yellow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Pas de modulation surfacique</w:t>
            </w:r>
          </w:p>
        </w:tc>
      </w:tr>
      <w:tr w:rsidR="00DF052B" w:rsidRPr="00DF052B" w:rsidTr="00DE21B4">
        <w:tblPrEx>
          <w:tblCellMar>
            <w:right w:w="57" w:type="dxa"/>
          </w:tblCellMar>
        </w:tblPrEx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jc w:val="center"/>
              <w:rPr>
                <w:rFonts w:ascii="Calibri" w:hAnsi="Calibri" w:cs="Calibri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lang w:eastAsia="zh-CN"/>
              </w:rPr>
              <w:t>Formule de modulation en fonction du volume d’activité</w:t>
            </w:r>
          </w:p>
        </w:tc>
        <w:tc>
          <w:tcPr>
            <w:tcW w:w="11577" w:type="dxa"/>
            <w:gridSpan w:val="18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052B" w:rsidRPr="00DF052B" w:rsidRDefault="00DF052B" w:rsidP="00DF052B">
            <w:pPr>
              <w:keepNext/>
              <w:keepLines/>
              <w:suppressAutoHyphens/>
              <w:autoSpaceDE w:val="0"/>
              <w:spacing w:before="120" w:after="120"/>
              <w:ind w:left="-101" w:right="-5"/>
              <w:jc w:val="center"/>
              <w:rPr>
                <w:rFonts w:ascii="Calibri" w:hAnsi="Calibri" w:cs="Calibri"/>
                <w:highlight w:val="yellow"/>
                <w:bdr w:val="none" w:sz="0" w:space="0" w:color="auto" w:frame="1"/>
                <w:lang w:eastAsia="zh-CN"/>
              </w:rPr>
            </w:pP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USE modulé</w:t>
            </w: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 xml:space="preserve"> (kWh/m²/an) = USE étalon x (</w:t>
            </w: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 xml:space="preserve">Nb_h_ouvrées/ </w:t>
            </w: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Nb_h_ouvrées</w:t>
            </w:r>
            <w:r w:rsidRPr="00DF052B">
              <w:rPr>
                <w:rFonts w:ascii="Calibri" w:hAnsi="Calibri" w:cs="Calibri"/>
                <w:bdr w:val="none" w:sz="0" w:space="0" w:color="auto" w:frame="1"/>
                <w:vertAlign w:val="subscript"/>
                <w:lang w:eastAsia="zh-CN"/>
              </w:rPr>
              <w:t>étalon</w:t>
            </w: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) + 0,28 x CVC x (</w:t>
            </w:r>
            <w:r w:rsidRPr="00DF052B">
              <w:rPr>
                <w:rFonts w:ascii="Calibri" w:hAnsi="Calibri" w:cs="Calibri"/>
                <w:b/>
                <w:bdr w:val="none" w:sz="0" w:space="0" w:color="auto" w:frame="1"/>
                <w:lang w:eastAsia="zh-CN"/>
              </w:rPr>
              <w:t>Nb_h_ouvrées -</w:t>
            </w: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 xml:space="preserve"> Nb_h_ouvrées</w:t>
            </w:r>
            <w:r w:rsidRPr="00DF052B">
              <w:rPr>
                <w:rFonts w:ascii="Calibri" w:hAnsi="Calibri" w:cs="Calibri"/>
                <w:bdr w:val="none" w:sz="0" w:space="0" w:color="auto" w:frame="1"/>
                <w:vertAlign w:val="subscript"/>
                <w:lang w:eastAsia="zh-CN"/>
              </w:rPr>
              <w:t>étalon</w:t>
            </w:r>
            <w:r w:rsidRPr="00DF052B">
              <w:rPr>
                <w:rFonts w:ascii="Calibri" w:hAnsi="Calibri" w:cs="Calibri"/>
                <w:bdr w:val="none" w:sz="0" w:space="0" w:color="auto" w:frame="1"/>
                <w:lang w:eastAsia="zh-CN"/>
              </w:rPr>
              <w:t>)/ Nb_h_ouvrées</w:t>
            </w:r>
            <w:r w:rsidRPr="00DF052B">
              <w:rPr>
                <w:rFonts w:ascii="Calibri" w:hAnsi="Calibri" w:cs="Calibri"/>
                <w:bdr w:val="none" w:sz="0" w:space="0" w:color="auto" w:frame="1"/>
                <w:vertAlign w:val="subscript"/>
                <w:lang w:eastAsia="zh-CN"/>
              </w:rPr>
              <w:t>étalon</w:t>
            </w:r>
          </w:p>
        </w:tc>
      </w:tr>
    </w:tbl>
    <w:p w:rsidR="00DF052B" w:rsidRPr="00DF052B" w:rsidRDefault="00DF052B" w:rsidP="00DF052B">
      <w:pPr>
        <w:keepNext/>
        <w:keepLines/>
        <w:suppressAutoHyphens/>
        <w:spacing w:after="0" w:line="240" w:lineRule="auto"/>
        <w:ind w:left="142"/>
        <w:rPr>
          <w:rFonts w:ascii="Calibri" w:eastAsia="Times New Roman" w:hAnsi="Calibri" w:cs="Calibri"/>
          <w:sz w:val="20"/>
          <w:szCs w:val="20"/>
          <w:lang w:eastAsia="zh-CN"/>
        </w:rPr>
      </w:pPr>
      <w:r w:rsidRPr="00DF052B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>Nota :</w:t>
      </w:r>
      <w:r w:rsidRPr="00DF052B">
        <w:rPr>
          <w:rFonts w:ascii="Calibri" w:eastAsia="Times New Roman" w:hAnsi="Calibri" w:cs="Calibri"/>
          <w:sz w:val="20"/>
          <w:szCs w:val="20"/>
          <w:lang w:eastAsia="zh-CN"/>
        </w:rPr>
        <w:t xml:space="preserve"> L’amplitude horaire étalon de 4368 h ouvrées par an, correspond à 52 semaines ouvrées x 6 jours ouvrés x 14 h d’amplitude quotidienne.</w:t>
      </w:r>
    </w:p>
    <w:p w:rsidR="00DF052B" w:rsidRPr="00DF052B" w:rsidRDefault="00DF052B" w:rsidP="00DF052B">
      <w:pPr>
        <w:keepNext/>
        <w:keepLines/>
        <w:suppressAutoHyphens/>
        <w:spacing w:after="0" w:line="240" w:lineRule="auto"/>
        <w:ind w:left="142"/>
        <w:rPr>
          <w:rFonts w:ascii="Calibri" w:eastAsia="Times New Roman" w:hAnsi="Calibri" w:cs="Calibri"/>
          <w:sz w:val="20"/>
          <w:szCs w:val="24"/>
          <w:lang w:eastAsia="zh-CN"/>
        </w:rPr>
      </w:pPr>
      <w:r w:rsidRPr="00DF052B">
        <w:rPr>
          <w:rFonts w:ascii="Calibri" w:eastAsia="Times New Roman" w:hAnsi="Calibri" w:cs="Calibri"/>
          <w:sz w:val="20"/>
          <w:szCs w:val="20"/>
          <w:lang w:eastAsia="zh-CN"/>
        </w:rPr>
        <w:t>0,28xCVCx(</w:t>
      </w:r>
      <w:r w:rsidRPr="00DF052B">
        <w:rPr>
          <w:rFonts w:ascii="Calibri" w:eastAsia="Times New Roman" w:hAnsi="Calibri" w:cs="Calibri"/>
          <w:b/>
          <w:sz w:val="20"/>
          <w:szCs w:val="20"/>
          <w:lang w:eastAsia="zh-CN"/>
        </w:rPr>
        <w:t>Nb_h_ouvrées</w:t>
      </w:r>
      <w:r w:rsidRPr="00DF052B">
        <w:rPr>
          <w:rFonts w:ascii="Calibri" w:eastAsia="Times New Roman" w:hAnsi="Calibri" w:cs="Calibri"/>
          <w:b/>
          <w:sz w:val="20"/>
          <w:szCs w:val="18"/>
          <w:lang w:eastAsia="zh-CN"/>
        </w:rPr>
        <w:t xml:space="preserve"> -</w:t>
      </w:r>
      <w:r w:rsidRPr="00DF052B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Pr="00DF052B">
        <w:rPr>
          <w:rFonts w:ascii="Calibri" w:eastAsia="Times New Roman" w:hAnsi="Calibri" w:cs="Calibri"/>
          <w:sz w:val="20"/>
          <w:szCs w:val="20"/>
          <w:lang w:eastAsia="zh-CN"/>
        </w:rPr>
        <w:t>Nb_h_ouvrées</w:t>
      </w:r>
      <w:r w:rsidRPr="00DF052B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DF052B">
        <w:rPr>
          <w:rFonts w:ascii="Calibri" w:eastAsia="Times New Roman" w:hAnsi="Calibri" w:cs="Calibri"/>
          <w:sz w:val="20"/>
          <w:szCs w:val="20"/>
          <w:lang w:eastAsia="zh-CN"/>
        </w:rPr>
        <w:t>)/Nb_h_ouvrées</w:t>
      </w:r>
      <w:r w:rsidRPr="00DF052B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DF052B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DF052B">
        <w:rPr>
          <w:rFonts w:ascii="Calibri" w:eastAsia="Times New Roman" w:hAnsi="Calibri" w:cs="Calibri"/>
          <w:sz w:val="20"/>
          <w:szCs w:val="24"/>
          <w:lang w:eastAsia="zh-CN"/>
        </w:rPr>
        <w:t>correspond à l’impact indirect sur la composante CVC du nombre d’heure ouvrées réelles par rapport à l’amplitude horaire étalon</w:t>
      </w:r>
    </w:p>
    <w:p w:rsidR="0046580C" w:rsidRDefault="00DF052B" w:rsidP="00DF052B">
      <w:r w:rsidRPr="00DF052B">
        <w:rPr>
          <w:rFonts w:ascii="Calibri" w:eastAsia="Times New Roman" w:hAnsi="Calibri" w:cs="Calibri"/>
          <w:sz w:val="20"/>
          <w:szCs w:val="24"/>
          <w:lang w:eastAsia="zh-CN"/>
        </w:rPr>
        <w:br w:type="page"/>
      </w:r>
    </w:p>
    <w:sectPr w:rsidR="0046580C" w:rsidSect="00DF052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2B"/>
    <w:rsid w:val="0039432F"/>
    <w:rsid w:val="0046580C"/>
    <w:rsid w:val="004C654F"/>
    <w:rsid w:val="00D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1FD55-27ED-48A0-A6EE-BE543FCC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0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2025-05-07T15:26:00Z</dcterms:created>
  <dcterms:modified xsi:type="dcterms:W3CDTF">2025-05-07T15:26:00Z</dcterms:modified>
</cp:coreProperties>
</file>