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8E76" w14:textId="3BFEEF89" w:rsidR="000A60B6" w:rsidRDefault="00B94159" w:rsidP="000A60B6">
      <w:pPr>
        <w:pStyle w:val="Titre"/>
      </w:pPr>
      <w:r w:rsidRPr="000A60B6">
        <w:t xml:space="preserve">Charte </w:t>
      </w:r>
      <w:r w:rsidR="008620CB">
        <w:t xml:space="preserve">de contribution aux travaux visant à définir les exigences de la RE2020 pour </w:t>
      </w:r>
      <w:r w:rsidR="003B0709" w:rsidRPr="003B0709">
        <w:t>de nouvelles typologies de bâtiments</w:t>
      </w:r>
    </w:p>
    <w:p w14:paraId="696B2838" w14:textId="77777777" w:rsidR="00A5315A" w:rsidRDefault="00A5315A" w:rsidP="000A60B6"/>
    <w:p w14:paraId="4EF2E700" w14:textId="77777777" w:rsidR="006D3AC8" w:rsidRPr="000A60B6" w:rsidRDefault="006D3AC8" w:rsidP="000A60B6"/>
    <w:p w14:paraId="5794D21A" w14:textId="77777777" w:rsidR="00A5315A" w:rsidRPr="000A60B6" w:rsidRDefault="00A5315A" w:rsidP="000A60B6"/>
    <w:p w14:paraId="034D06E4" w14:textId="77777777" w:rsidR="00A5315A" w:rsidRPr="00C37CD1" w:rsidRDefault="00B94159" w:rsidP="00C37CD1">
      <w:pPr>
        <w:pStyle w:val="Titre1"/>
      </w:pPr>
      <w:r w:rsidRPr="00C37CD1">
        <w:t>Préambule</w:t>
      </w:r>
    </w:p>
    <w:p w14:paraId="3D0E0B55" w14:textId="77777777" w:rsidR="000A60B6" w:rsidRDefault="000A60B6" w:rsidP="000A60B6"/>
    <w:p w14:paraId="03CC9F5E" w14:textId="0CA1823B" w:rsidR="008620CB" w:rsidRDefault="008620CB" w:rsidP="008620CB">
      <w:r w:rsidRPr="00EC065E">
        <w:t xml:space="preserve">Afin de définir les exigences de la réglementation environnementale des bâtiments neufs </w:t>
      </w:r>
      <w:r>
        <w:t>(</w:t>
      </w:r>
      <w:r w:rsidRPr="00EC065E">
        <w:t>RE2020</w:t>
      </w:r>
      <w:r>
        <w:t>)</w:t>
      </w:r>
      <w:r w:rsidRPr="00EC065E">
        <w:t xml:space="preserve">, </w:t>
      </w:r>
      <w:r>
        <w:t>l</w:t>
      </w:r>
      <w:r w:rsidRPr="00924704">
        <w:t xml:space="preserve">a </w:t>
      </w:r>
      <w:r>
        <w:t>d</w:t>
      </w:r>
      <w:r w:rsidRPr="00924704">
        <w:t>irection de l'Habitat, de l'Urbanisme et des Paysages (DHUP)</w:t>
      </w:r>
      <w:r>
        <w:t xml:space="preserve"> du ministère de la Transition écologique et de la Cohésion des territoires organise </w:t>
      </w:r>
      <w:r w:rsidRPr="00EC065E">
        <w:t>des travaux approfondis de simulation</w:t>
      </w:r>
      <w:r>
        <w:t>s</w:t>
      </w:r>
      <w:r w:rsidRPr="00EC065E">
        <w:t xml:space="preserve"> avec </w:t>
      </w:r>
      <w:r>
        <w:t xml:space="preserve">des </w:t>
      </w:r>
      <w:r w:rsidRPr="00EC065E">
        <w:t>bureaux d’études techniques et économiques</w:t>
      </w:r>
      <w:r>
        <w:t>,</w:t>
      </w:r>
      <w:r w:rsidRPr="00EC065E">
        <w:t xml:space="preserve"> </w:t>
      </w:r>
      <w:r>
        <w:t>le CSTB et</w:t>
      </w:r>
      <w:r w:rsidRPr="00EC065E">
        <w:t xml:space="preserve"> le CEREMA.</w:t>
      </w:r>
      <w:r>
        <w:t xml:space="preserve"> C</w:t>
      </w:r>
      <w:r w:rsidRPr="00EC065E">
        <w:t xml:space="preserve">es travaux concernent </w:t>
      </w:r>
      <w:r>
        <w:t>actuellement les</w:t>
      </w:r>
      <w:r w:rsidRPr="00EC065E">
        <w:t xml:space="preserve"> typologies de bâtiments</w:t>
      </w:r>
      <w:r>
        <w:t xml:space="preserve"> suivant</w:t>
      </w:r>
      <w:r w:rsidR="00065C33">
        <w:t> :</w:t>
      </w:r>
    </w:p>
    <w:p w14:paraId="5C0A99A9" w14:textId="77777777" w:rsidR="008620CB" w:rsidRDefault="008620CB" w:rsidP="008620CB">
      <w:pPr>
        <w:pStyle w:val="Paragraphedeliste"/>
        <w:numPr>
          <w:ilvl w:val="0"/>
          <w:numId w:val="9"/>
        </w:numPr>
        <w:tabs>
          <w:tab w:val="center" w:pos="5387"/>
          <w:tab w:val="right" w:pos="10772"/>
        </w:tabs>
        <w:ind w:left="567" w:hanging="283"/>
      </w:pPr>
      <w:r>
        <w:t>Les hôtels (lot 2),</w:t>
      </w:r>
    </w:p>
    <w:p w14:paraId="1DB5D14C" w14:textId="77777777" w:rsidR="008620CB" w:rsidRDefault="008620CB" w:rsidP="008620CB">
      <w:pPr>
        <w:pStyle w:val="Paragraphedeliste"/>
        <w:numPr>
          <w:ilvl w:val="0"/>
          <w:numId w:val="9"/>
        </w:numPr>
        <w:tabs>
          <w:tab w:val="center" w:pos="5387"/>
          <w:tab w:val="right" w:pos="10772"/>
        </w:tabs>
        <w:ind w:left="567" w:hanging="283"/>
      </w:pPr>
      <w:r>
        <w:t>Les restaurants (lot 3),</w:t>
      </w:r>
    </w:p>
    <w:p w14:paraId="632B0F79" w14:textId="77777777" w:rsidR="008620CB" w:rsidRDefault="008620CB" w:rsidP="008620CB">
      <w:pPr>
        <w:pStyle w:val="Paragraphedeliste"/>
        <w:numPr>
          <w:ilvl w:val="0"/>
          <w:numId w:val="9"/>
        </w:numPr>
        <w:tabs>
          <w:tab w:val="center" w:pos="5387"/>
          <w:tab w:val="right" w:pos="10772"/>
        </w:tabs>
        <w:ind w:left="567" w:hanging="283"/>
      </w:pPr>
      <w:r>
        <w:t>Les commerces (lot 4),</w:t>
      </w:r>
    </w:p>
    <w:p w14:paraId="05FD7E03" w14:textId="77777777" w:rsidR="008620CB" w:rsidRDefault="008620CB" w:rsidP="008620CB">
      <w:pPr>
        <w:pStyle w:val="Paragraphedeliste"/>
        <w:numPr>
          <w:ilvl w:val="0"/>
          <w:numId w:val="9"/>
        </w:numPr>
        <w:tabs>
          <w:tab w:val="center" w:pos="5387"/>
          <w:tab w:val="right" w:pos="10772"/>
        </w:tabs>
        <w:ind w:left="567" w:hanging="283"/>
      </w:pPr>
      <w:r>
        <w:t>Les établissements d’accueil de la petite enfance (lot 5),</w:t>
      </w:r>
    </w:p>
    <w:p w14:paraId="68D7DF87" w14:textId="77777777" w:rsidR="008620CB" w:rsidRDefault="008620CB" w:rsidP="008620CB">
      <w:pPr>
        <w:pStyle w:val="Paragraphedeliste"/>
        <w:numPr>
          <w:ilvl w:val="0"/>
          <w:numId w:val="9"/>
        </w:numPr>
        <w:tabs>
          <w:tab w:val="center" w:pos="5387"/>
          <w:tab w:val="right" w:pos="10772"/>
        </w:tabs>
        <w:ind w:left="567" w:hanging="283"/>
      </w:pPr>
      <w:r>
        <w:t>Les bâtiments universitaires d'enseignement et de recherche et bâtiments d’enseignements atypiques type privé (conservatoire, …) (lot 6),</w:t>
      </w:r>
    </w:p>
    <w:p w14:paraId="3CA71EDA" w14:textId="77777777" w:rsidR="008620CB" w:rsidRDefault="008620CB" w:rsidP="008620CB">
      <w:pPr>
        <w:pStyle w:val="Paragraphedeliste"/>
        <w:numPr>
          <w:ilvl w:val="0"/>
          <w:numId w:val="9"/>
        </w:numPr>
        <w:tabs>
          <w:tab w:val="center" w:pos="5387"/>
          <w:tab w:val="right" w:pos="10772"/>
        </w:tabs>
        <w:ind w:left="567" w:hanging="283"/>
      </w:pPr>
      <w:r>
        <w:t>Les établissements de santé et EHPAD (lot 7),</w:t>
      </w:r>
    </w:p>
    <w:p w14:paraId="72575EBE" w14:textId="77777777" w:rsidR="008620CB" w:rsidRDefault="008620CB" w:rsidP="008620CB">
      <w:pPr>
        <w:pStyle w:val="Paragraphedeliste"/>
        <w:numPr>
          <w:ilvl w:val="0"/>
          <w:numId w:val="9"/>
        </w:numPr>
        <w:tabs>
          <w:tab w:val="center" w:pos="5387"/>
          <w:tab w:val="right" w:pos="10772"/>
        </w:tabs>
        <w:ind w:left="567" w:hanging="283"/>
      </w:pPr>
      <w:r>
        <w:t>Les gymnases et salles de sports, y compris vestiaires (lot 8),</w:t>
      </w:r>
    </w:p>
    <w:p w14:paraId="1CDA9F27" w14:textId="7E6C13BE" w:rsidR="008620CB" w:rsidRDefault="008620CB" w:rsidP="008620CB">
      <w:pPr>
        <w:pStyle w:val="Paragraphedeliste"/>
        <w:numPr>
          <w:ilvl w:val="0"/>
          <w:numId w:val="9"/>
        </w:numPr>
        <w:tabs>
          <w:tab w:val="center" w:pos="5387"/>
          <w:tab w:val="right" w:pos="10772"/>
        </w:tabs>
        <w:ind w:left="567" w:hanging="283"/>
      </w:pPr>
      <w:r>
        <w:t>Les bâtiments à usage industriel et artisanal (lot 9),</w:t>
      </w:r>
    </w:p>
    <w:p w14:paraId="133E6240" w14:textId="11132BBD" w:rsidR="00065C33" w:rsidRDefault="00065C33" w:rsidP="008620CB">
      <w:pPr>
        <w:pStyle w:val="Paragraphedeliste"/>
        <w:numPr>
          <w:ilvl w:val="0"/>
          <w:numId w:val="9"/>
        </w:numPr>
        <w:tabs>
          <w:tab w:val="center" w:pos="5387"/>
          <w:tab w:val="right" w:pos="10772"/>
        </w:tabs>
        <w:ind w:left="567" w:hanging="283"/>
      </w:pPr>
      <w:r>
        <w:t>Les aérogares (lot 10),</w:t>
      </w:r>
    </w:p>
    <w:p w14:paraId="0A186606" w14:textId="77777777" w:rsidR="008620CB" w:rsidRDefault="008620CB" w:rsidP="008620CB">
      <w:pPr>
        <w:pStyle w:val="Paragraphedeliste"/>
        <w:numPr>
          <w:ilvl w:val="0"/>
          <w:numId w:val="9"/>
        </w:numPr>
        <w:tabs>
          <w:tab w:val="center" w:pos="5387"/>
          <w:tab w:val="right" w:pos="10772"/>
        </w:tabs>
        <w:ind w:left="567" w:hanging="283"/>
      </w:pPr>
      <w:r>
        <w:t>Les médiathèques et bibliothèques (lot 11).</w:t>
      </w:r>
    </w:p>
    <w:p w14:paraId="2A52CE0B" w14:textId="50D22DC5" w:rsidR="00952BAD" w:rsidRDefault="00952BAD" w:rsidP="00EC305A">
      <w:r>
        <w:t>Dans la suite de la présente charte, ces travaux sont appelés «</w:t>
      </w:r>
      <w:r>
        <w:rPr>
          <w:rFonts w:ascii="Calibri" w:hAnsi="Calibri" w:cs="Calibri"/>
        </w:rPr>
        <w:t> </w:t>
      </w:r>
      <w:r>
        <w:t>GTM2</w:t>
      </w:r>
      <w:r>
        <w:rPr>
          <w:rFonts w:ascii="Calibri" w:hAnsi="Calibri" w:cs="Calibri"/>
        </w:rPr>
        <w:t> </w:t>
      </w:r>
      <w:r>
        <w:rPr>
          <w:rFonts w:cs="Marianne"/>
        </w:rPr>
        <w:t>»</w:t>
      </w:r>
      <w:r w:rsidR="003B0709">
        <w:rPr>
          <w:rFonts w:cs="Marianne"/>
        </w:rPr>
        <w:t xml:space="preserve"> (pour </w:t>
      </w:r>
      <w:r w:rsidR="003B0709">
        <w:t>«</w:t>
      </w:r>
      <w:r w:rsidR="003B0709">
        <w:rPr>
          <w:rFonts w:ascii="Calibri" w:hAnsi="Calibri" w:cs="Calibri"/>
        </w:rPr>
        <w:t> </w:t>
      </w:r>
      <w:r w:rsidR="003B0709" w:rsidRPr="00EC065E">
        <w:t>GT Modélisateur</w:t>
      </w:r>
      <w:r w:rsidR="003B0709">
        <w:t xml:space="preserve"> 2</w:t>
      </w:r>
      <w:r w:rsidR="003B0709">
        <w:rPr>
          <w:rFonts w:ascii="Calibri" w:hAnsi="Calibri" w:cs="Calibri"/>
        </w:rPr>
        <w:t> </w:t>
      </w:r>
      <w:r w:rsidR="003B0709">
        <w:rPr>
          <w:rFonts w:cs="Marianne"/>
        </w:rPr>
        <w:t>»</w:t>
      </w:r>
      <w:r w:rsidR="003B0709">
        <w:t>)</w:t>
      </w:r>
      <w:r>
        <w:t>.</w:t>
      </w:r>
    </w:p>
    <w:p w14:paraId="7B29788D" w14:textId="77777777" w:rsidR="00A5315A" w:rsidRPr="000A60B6" w:rsidRDefault="00A5315A" w:rsidP="000A60B6"/>
    <w:p w14:paraId="0102A905" w14:textId="56909F85" w:rsidR="00A5315A" w:rsidRPr="000A60B6" w:rsidRDefault="00B94159">
      <w:r w:rsidRPr="000A60B6">
        <w:t xml:space="preserve">La présente charte définit les règles </w:t>
      </w:r>
      <w:r w:rsidR="00952BAD">
        <w:t xml:space="preserve">applicables aux acteurs </w:t>
      </w:r>
      <w:r w:rsidR="003A47FE">
        <w:t xml:space="preserve">du secteur </w:t>
      </w:r>
      <w:r w:rsidR="00952BAD">
        <w:t>de la construction intéressés pour compléter les travaux menés dans la cadre du GTM2. Ces règles concernent</w:t>
      </w:r>
      <w:r w:rsidR="00952BAD" w:rsidRPr="00EC065E">
        <w:t xml:space="preserve"> les </w:t>
      </w:r>
      <w:r w:rsidR="00952BAD">
        <w:t xml:space="preserve">deux </w:t>
      </w:r>
      <w:r w:rsidR="00952BAD" w:rsidRPr="00EC065E">
        <w:t>outils de calcul</w:t>
      </w:r>
      <w:r w:rsidR="00952BAD">
        <w:t xml:space="preserve"> utilisés dans le cadre du GTM2 (Maestro Energie et Maestro Environnement), mais également la formation organisée par la DHUP «</w:t>
      </w:r>
      <w:r w:rsidR="00952BAD">
        <w:rPr>
          <w:rFonts w:ascii="Calibri" w:hAnsi="Calibri" w:cs="Calibri"/>
        </w:rPr>
        <w:t> </w:t>
      </w:r>
      <w:r w:rsidR="00952BAD">
        <w:t>«</w:t>
      </w:r>
      <w:r w:rsidR="00952BAD">
        <w:rPr>
          <w:rFonts w:ascii="Calibri" w:hAnsi="Calibri" w:cs="Calibri"/>
        </w:rPr>
        <w:t> </w:t>
      </w:r>
      <w:r w:rsidR="00952BAD">
        <w:t>méthode de travail</w:t>
      </w:r>
      <w:r w:rsidR="00952BAD">
        <w:rPr>
          <w:rFonts w:ascii="Calibri" w:hAnsi="Calibri" w:cs="Calibri"/>
        </w:rPr>
        <w:t> </w:t>
      </w:r>
      <w:r w:rsidR="00952BAD">
        <w:rPr>
          <w:rFonts w:cs="Marianne"/>
        </w:rPr>
        <w:t>»,</w:t>
      </w:r>
      <w:r w:rsidR="00952BAD">
        <w:t xml:space="preserve"> visant à préciser le cadre de travail et l’utilisation de Maestro Energie et Maestro Environnement.</w:t>
      </w:r>
    </w:p>
    <w:p w14:paraId="46F40667" w14:textId="1F929BED" w:rsidR="00C37CD1" w:rsidRDefault="00C37CD1" w:rsidP="00BE648D">
      <w:pPr>
        <w:ind w:left="0" w:firstLine="0"/>
      </w:pPr>
    </w:p>
    <w:p w14:paraId="56749D47" w14:textId="77777777" w:rsidR="00BE648D" w:rsidRPr="000A60B6" w:rsidRDefault="00BE648D" w:rsidP="00BE648D">
      <w:pPr>
        <w:ind w:left="0" w:firstLine="0"/>
      </w:pPr>
    </w:p>
    <w:p w14:paraId="1AA671CA" w14:textId="77777777" w:rsidR="00A5315A" w:rsidRPr="000A60B6" w:rsidRDefault="00B94159" w:rsidP="00C37CD1">
      <w:pPr>
        <w:pStyle w:val="Titre1"/>
      </w:pPr>
      <w:r w:rsidRPr="000A60B6">
        <w:t>Article 1 : Utilisateurs concernés</w:t>
      </w:r>
    </w:p>
    <w:p w14:paraId="7E681A16" w14:textId="77777777" w:rsidR="000A60B6" w:rsidRPr="000A60B6" w:rsidRDefault="000A60B6" w:rsidP="000A60B6"/>
    <w:p w14:paraId="7ABDB7AC" w14:textId="3164B1A9" w:rsidR="00A5315A" w:rsidRPr="000A60B6" w:rsidRDefault="00B94159" w:rsidP="000A60B6">
      <w:r w:rsidRPr="000A60B6">
        <w:t xml:space="preserve">La présente charte s’applique à l’ensemble des </w:t>
      </w:r>
      <w:r w:rsidR="00952BAD">
        <w:t>contributeurs</w:t>
      </w:r>
      <w:r w:rsidR="000A60B6">
        <w:rPr>
          <w:rFonts w:ascii="Calibri" w:hAnsi="Calibri" w:cs="Calibri"/>
        </w:rPr>
        <w:t> </w:t>
      </w:r>
      <w:r w:rsidR="000A60B6">
        <w:t>:</w:t>
      </w:r>
    </w:p>
    <w:p w14:paraId="5B3C4116" w14:textId="77777777" w:rsidR="00A5315A" w:rsidRPr="000A60B6" w:rsidRDefault="00C37CD1" w:rsidP="000A60B6">
      <w:pPr>
        <w:pStyle w:val="Paragraphedeliste"/>
        <w:numPr>
          <w:ilvl w:val="0"/>
          <w:numId w:val="4"/>
        </w:numPr>
        <w:ind w:left="567" w:hanging="283"/>
      </w:pPr>
      <w:r w:rsidRPr="000A60B6">
        <w:t>Les</w:t>
      </w:r>
      <w:r w:rsidR="00B94159" w:rsidRPr="000A60B6">
        <w:t xml:space="preserve"> salariés</w:t>
      </w:r>
      <w:r w:rsidR="000A60B6">
        <w:rPr>
          <w:rFonts w:ascii="Calibri" w:hAnsi="Calibri" w:cs="Calibri"/>
        </w:rPr>
        <w:t> </w:t>
      </w:r>
      <w:r w:rsidR="000A60B6">
        <w:t>;</w:t>
      </w:r>
    </w:p>
    <w:p w14:paraId="3199CFB8" w14:textId="77777777" w:rsidR="00A5315A" w:rsidRPr="000A60B6" w:rsidRDefault="00C37CD1" w:rsidP="000A60B6">
      <w:pPr>
        <w:pStyle w:val="Paragraphedeliste"/>
        <w:numPr>
          <w:ilvl w:val="0"/>
          <w:numId w:val="4"/>
        </w:numPr>
        <w:ind w:left="567" w:hanging="283"/>
      </w:pPr>
      <w:r w:rsidRPr="000A60B6">
        <w:t>Les</w:t>
      </w:r>
      <w:r w:rsidR="00B94159" w:rsidRPr="000A60B6">
        <w:t xml:space="preserve"> intérimaires</w:t>
      </w:r>
      <w:r w:rsidR="000A60B6">
        <w:rPr>
          <w:rFonts w:ascii="Calibri" w:hAnsi="Calibri" w:cs="Calibri"/>
        </w:rPr>
        <w:t> </w:t>
      </w:r>
      <w:r w:rsidR="000A60B6">
        <w:t>;</w:t>
      </w:r>
    </w:p>
    <w:p w14:paraId="74C2A0CE" w14:textId="77777777" w:rsidR="00A5315A" w:rsidRPr="000A60B6" w:rsidRDefault="00C37CD1" w:rsidP="000A60B6">
      <w:pPr>
        <w:pStyle w:val="Paragraphedeliste"/>
        <w:numPr>
          <w:ilvl w:val="0"/>
          <w:numId w:val="4"/>
        </w:numPr>
        <w:ind w:left="567" w:hanging="283"/>
      </w:pPr>
      <w:r>
        <w:t>Les</w:t>
      </w:r>
      <w:r w:rsidR="000A60B6">
        <w:t xml:space="preserve"> stagiaires</w:t>
      </w:r>
      <w:r w:rsidR="000A60B6">
        <w:rPr>
          <w:rFonts w:ascii="Calibri" w:hAnsi="Calibri" w:cs="Calibri"/>
        </w:rPr>
        <w:t> </w:t>
      </w:r>
      <w:r w:rsidR="000A60B6">
        <w:t>;</w:t>
      </w:r>
    </w:p>
    <w:p w14:paraId="699FEC4E" w14:textId="77777777" w:rsidR="00A5315A" w:rsidRPr="000A60B6" w:rsidRDefault="00C37CD1" w:rsidP="000A60B6">
      <w:pPr>
        <w:pStyle w:val="Paragraphedeliste"/>
        <w:numPr>
          <w:ilvl w:val="0"/>
          <w:numId w:val="4"/>
        </w:numPr>
        <w:ind w:left="567" w:hanging="283"/>
      </w:pPr>
      <w:r w:rsidRPr="000A60B6">
        <w:t>Les</w:t>
      </w:r>
      <w:r w:rsidR="00B94159" w:rsidRPr="000A60B6">
        <w:t xml:space="preserve"> employés de sociétés prestataires. </w:t>
      </w:r>
    </w:p>
    <w:p w14:paraId="373954B6" w14:textId="77777777" w:rsidR="00A5315A" w:rsidRPr="000A60B6" w:rsidRDefault="00A5315A" w:rsidP="000A60B6"/>
    <w:p w14:paraId="2D73A4EF" w14:textId="7F007B5B" w:rsidR="00A5315A" w:rsidRPr="000A60B6" w:rsidRDefault="00B94159" w:rsidP="000A60B6">
      <w:r w:rsidRPr="000A60B6">
        <w:t xml:space="preserve">Il appartient à l’organisation qui a réalisé la demande </w:t>
      </w:r>
      <w:r w:rsidR="00952BAD">
        <w:t>de contribution</w:t>
      </w:r>
      <w:r w:rsidRPr="000A60B6">
        <w:t xml:space="preserve"> de s’assurer de faire accepter la présente charte à toute personne pour laquelle l</w:t>
      </w:r>
      <w:r w:rsidR="00C37CD1">
        <w:t>’accès aux outils serait donné.</w:t>
      </w:r>
    </w:p>
    <w:p w14:paraId="1C0A89D1" w14:textId="240A403E" w:rsidR="00C37CD1" w:rsidRDefault="00C37CD1" w:rsidP="00BE648D">
      <w:pPr>
        <w:ind w:left="0" w:firstLine="0"/>
      </w:pPr>
    </w:p>
    <w:p w14:paraId="384F559A" w14:textId="77777777" w:rsidR="00BE648D" w:rsidRPr="000A60B6" w:rsidRDefault="00BE648D" w:rsidP="00BE648D">
      <w:pPr>
        <w:ind w:left="0" w:firstLine="0"/>
      </w:pPr>
    </w:p>
    <w:p w14:paraId="5B55EA05" w14:textId="52D9968A" w:rsidR="00A5315A" w:rsidRPr="000A60B6" w:rsidRDefault="00B94159" w:rsidP="00C37CD1">
      <w:pPr>
        <w:pStyle w:val="Titre1"/>
      </w:pPr>
      <w:r w:rsidRPr="000A60B6">
        <w:t xml:space="preserve">Article 2 : Mise à disposition des outils </w:t>
      </w:r>
      <w:r w:rsidR="00952BAD" w:rsidRPr="00952BAD">
        <w:t>Maestro Energie et Maestro Environnement</w:t>
      </w:r>
    </w:p>
    <w:p w14:paraId="09FFAC85" w14:textId="77777777" w:rsidR="000A60B6" w:rsidRDefault="000A60B6" w:rsidP="000A60B6"/>
    <w:p w14:paraId="437F3DEE" w14:textId="50893F87" w:rsidR="00EF0E5D" w:rsidRDefault="00B94159" w:rsidP="000A60B6">
      <w:r w:rsidRPr="000A60B6">
        <w:t>L</w:t>
      </w:r>
      <w:r w:rsidR="00C37CD1">
        <w:t>a DHUP</w:t>
      </w:r>
      <w:r w:rsidRPr="000A60B6">
        <w:t xml:space="preserve"> après analyse et acceptation de la demande d’accès aux outils met en relation l’organisation à l'origine de la demande avec le CSTB. Le CSTB fournit alors les outils et licences associées jusqu’à </w:t>
      </w:r>
      <w:r w:rsidR="00952BAD">
        <w:t>fin décembre</w:t>
      </w:r>
      <w:r w:rsidR="00952BAD" w:rsidRPr="000A60B6">
        <w:t xml:space="preserve"> </w:t>
      </w:r>
      <w:r w:rsidR="00EF52C6" w:rsidRPr="000A60B6">
        <w:t>2023</w:t>
      </w:r>
      <w:r w:rsidRPr="000A60B6">
        <w:t xml:space="preserve"> à l’organisation. L'organisation s’acquitte alors </w:t>
      </w:r>
      <w:r w:rsidR="00EF0E5D">
        <w:t xml:space="preserve">auprès du CSTB </w:t>
      </w:r>
      <w:r w:rsidRPr="000A60B6">
        <w:t>de la contribution financière</w:t>
      </w:r>
      <w:r w:rsidR="00EF0E5D">
        <w:t xml:space="preserve"> obligatoire de</w:t>
      </w:r>
      <w:r w:rsidR="00EF0E5D">
        <w:rPr>
          <w:rFonts w:ascii="Calibri" w:hAnsi="Calibri" w:cs="Calibri"/>
        </w:rPr>
        <w:t> </w:t>
      </w:r>
      <w:r w:rsidR="00EF0E5D">
        <w:t>:</w:t>
      </w:r>
    </w:p>
    <w:p w14:paraId="389DE85B" w14:textId="77777777" w:rsidR="00EF0E5D" w:rsidRDefault="00EF0E5D" w:rsidP="000A60B6"/>
    <w:p w14:paraId="308A109B" w14:textId="0436B1AA" w:rsidR="00A5315A" w:rsidRPr="000A60B6" w:rsidRDefault="00B94159" w:rsidP="0028366F">
      <w:pPr>
        <w:pStyle w:val="Paragraphedeliste"/>
        <w:numPr>
          <w:ilvl w:val="0"/>
          <w:numId w:val="5"/>
        </w:numPr>
      </w:pPr>
      <w:r w:rsidRPr="000A60B6">
        <w:t xml:space="preserve"> 2</w:t>
      </w:r>
      <w:r w:rsidR="00C37CD1" w:rsidRPr="00EF0E5D">
        <w:rPr>
          <w:rFonts w:ascii="Calibri" w:hAnsi="Calibri" w:cs="Calibri"/>
        </w:rPr>
        <w:t> </w:t>
      </w:r>
      <w:r w:rsidRPr="000A60B6">
        <w:t>300€</w:t>
      </w:r>
      <w:r w:rsidR="00C37CD1" w:rsidRPr="00EF0E5D">
        <w:rPr>
          <w:rFonts w:ascii="Calibri" w:hAnsi="Calibri" w:cs="Calibri"/>
        </w:rPr>
        <w:t> </w:t>
      </w:r>
      <w:r w:rsidRPr="000A60B6">
        <w:t xml:space="preserve">HT </w:t>
      </w:r>
      <w:r w:rsidR="00EF0E5D">
        <w:t>pour</w:t>
      </w:r>
      <w:r w:rsidR="00EF0E5D">
        <w:rPr>
          <w:rFonts w:ascii="Calibri" w:hAnsi="Calibri" w:cs="Calibri"/>
        </w:rPr>
        <w:t> </w:t>
      </w:r>
      <w:r w:rsidR="00EF0E5D">
        <w:t>:</w:t>
      </w:r>
    </w:p>
    <w:p w14:paraId="3BABDD2E" w14:textId="3695DB47" w:rsidR="00A5315A" w:rsidRPr="000A60B6" w:rsidRDefault="00C37CD1" w:rsidP="0028366F">
      <w:pPr>
        <w:pStyle w:val="Paragraphedeliste"/>
        <w:numPr>
          <w:ilvl w:val="1"/>
          <w:numId w:val="5"/>
        </w:numPr>
      </w:pPr>
      <w:r w:rsidRPr="000A60B6">
        <w:t>La</w:t>
      </w:r>
      <w:r w:rsidR="00B94159" w:rsidRPr="000A60B6">
        <w:t xml:space="preserve"> mise à disposition </w:t>
      </w:r>
      <w:r w:rsidR="00330AC1">
        <w:t xml:space="preserve">d’une licence </w:t>
      </w:r>
      <w:r w:rsidR="00B94159" w:rsidRPr="000A60B6">
        <w:t>de l’outil éner</w:t>
      </w:r>
      <w:r w:rsidR="000A60B6">
        <w:t>gie et de l'interface associée</w:t>
      </w:r>
      <w:r w:rsidR="000A60B6" w:rsidRPr="00EF0E5D">
        <w:rPr>
          <w:rFonts w:ascii="Calibri" w:hAnsi="Calibri" w:cs="Calibri"/>
        </w:rPr>
        <w:t> </w:t>
      </w:r>
      <w:r w:rsidR="000A60B6">
        <w:t>;</w:t>
      </w:r>
    </w:p>
    <w:p w14:paraId="4B510381" w14:textId="31B1A1A0" w:rsidR="00A5315A" w:rsidRPr="000A60B6" w:rsidRDefault="00A17BC0" w:rsidP="0028366F">
      <w:pPr>
        <w:pStyle w:val="Paragraphedeliste"/>
        <w:numPr>
          <w:ilvl w:val="1"/>
          <w:numId w:val="5"/>
        </w:numPr>
      </w:pPr>
      <w:r>
        <w:t>La</w:t>
      </w:r>
      <w:r w:rsidR="00BA36AB">
        <w:t xml:space="preserve"> </w:t>
      </w:r>
      <w:r>
        <w:t>mise à disposition d’une licence de</w:t>
      </w:r>
      <w:r w:rsidR="000A60B6">
        <w:t xml:space="preserve"> l'outil Environnement</w:t>
      </w:r>
      <w:r w:rsidR="000A60B6" w:rsidRPr="00EF0E5D">
        <w:rPr>
          <w:rFonts w:ascii="Calibri" w:hAnsi="Calibri" w:cs="Calibri"/>
        </w:rPr>
        <w:t> </w:t>
      </w:r>
      <w:r w:rsidR="000A60B6">
        <w:t>;</w:t>
      </w:r>
    </w:p>
    <w:p w14:paraId="6B5F3D7C" w14:textId="77777777" w:rsidR="004F735F" w:rsidRPr="000A60B6" w:rsidRDefault="00C37CD1" w:rsidP="0028366F">
      <w:pPr>
        <w:pStyle w:val="Paragraphedeliste"/>
        <w:numPr>
          <w:ilvl w:val="1"/>
          <w:numId w:val="5"/>
        </w:numPr>
      </w:pPr>
      <w:r w:rsidRPr="000A60B6">
        <w:lastRenderedPageBreak/>
        <w:t>Le</w:t>
      </w:r>
      <w:r w:rsidR="00B94159" w:rsidRPr="000A60B6">
        <w:t xml:space="preserve"> suivi des demandes pour l'installation et le débogage in</w:t>
      </w:r>
      <w:r w:rsidR="000A60B6">
        <w:t>formatique, et réponses du CSTB</w:t>
      </w:r>
      <w:r w:rsidR="000A60B6" w:rsidRPr="00EF0E5D">
        <w:rPr>
          <w:rFonts w:ascii="Calibri" w:hAnsi="Calibri" w:cs="Calibri"/>
        </w:rPr>
        <w:t> </w:t>
      </w:r>
      <w:r w:rsidR="000A60B6">
        <w:t>;</w:t>
      </w:r>
    </w:p>
    <w:p w14:paraId="0A599863" w14:textId="1B543107" w:rsidR="00EF0E5D" w:rsidRDefault="00C37CD1" w:rsidP="0028366F">
      <w:pPr>
        <w:pStyle w:val="Paragraphedeliste"/>
        <w:numPr>
          <w:ilvl w:val="1"/>
          <w:numId w:val="5"/>
        </w:numPr>
        <w:spacing w:after="240"/>
        <w:ind w:left="1434" w:hanging="357"/>
        <w:contextualSpacing w:val="0"/>
      </w:pPr>
      <w:r w:rsidRPr="000A60B6">
        <w:t>Une</w:t>
      </w:r>
      <w:r w:rsidR="00B94159" w:rsidRPr="000A60B6">
        <w:t xml:space="preserve"> participation fina</w:t>
      </w:r>
      <w:r w:rsidR="000A60B6">
        <w:t>ncière d'accès à la base INIES.</w:t>
      </w:r>
    </w:p>
    <w:p w14:paraId="2B3C49A1" w14:textId="432D8D41" w:rsidR="00EF0E5D" w:rsidRDefault="00EF0E5D" w:rsidP="0028366F">
      <w:pPr>
        <w:pStyle w:val="Paragraphedeliste"/>
        <w:numPr>
          <w:ilvl w:val="0"/>
          <w:numId w:val="5"/>
        </w:numPr>
      </w:pPr>
      <w:r>
        <w:t>ou 1</w:t>
      </w:r>
      <w:r w:rsidR="38FBEAFD">
        <w:t>5</w:t>
      </w:r>
      <w:r>
        <w:t>00€ HT pour</w:t>
      </w:r>
      <w:r w:rsidRPr="10A4097C">
        <w:rPr>
          <w:rFonts w:ascii="Calibri" w:hAnsi="Calibri" w:cs="Calibri"/>
        </w:rPr>
        <w:t> </w:t>
      </w:r>
      <w:r>
        <w:t>:</w:t>
      </w:r>
    </w:p>
    <w:p w14:paraId="3C64A5CD" w14:textId="0F3E37D0" w:rsidR="00EF0E5D" w:rsidRPr="000A60B6" w:rsidRDefault="00EF0E5D">
      <w:pPr>
        <w:pStyle w:val="Paragraphedeliste"/>
        <w:numPr>
          <w:ilvl w:val="1"/>
          <w:numId w:val="5"/>
        </w:numPr>
      </w:pPr>
      <w:r w:rsidRPr="000A60B6">
        <w:t xml:space="preserve">La mise à disposition </w:t>
      </w:r>
      <w:r w:rsidR="00A17BC0">
        <w:t xml:space="preserve">d’une licence </w:t>
      </w:r>
      <w:r w:rsidRPr="000A60B6">
        <w:t>de l’outil éner</w:t>
      </w:r>
      <w:r>
        <w:t>gie et de l'interface associée</w:t>
      </w:r>
      <w:r w:rsidRPr="0075642F">
        <w:rPr>
          <w:rFonts w:ascii="Calibri" w:hAnsi="Calibri" w:cs="Calibri"/>
        </w:rPr>
        <w:t> </w:t>
      </w:r>
      <w:r>
        <w:t>;</w:t>
      </w:r>
    </w:p>
    <w:p w14:paraId="3B2647D0" w14:textId="2C3695ED" w:rsidR="00BE648D" w:rsidRDefault="00EF0E5D" w:rsidP="00BE648D">
      <w:pPr>
        <w:pStyle w:val="Paragraphedeliste"/>
        <w:numPr>
          <w:ilvl w:val="1"/>
          <w:numId w:val="5"/>
        </w:numPr>
      </w:pPr>
      <w:r w:rsidRPr="000A60B6">
        <w:t>Le suivi des demandes pour l'installation et le débogage in</w:t>
      </w:r>
      <w:r>
        <w:t>formatique, et réponses du CSTB</w:t>
      </w:r>
      <w:r w:rsidRPr="0075642F">
        <w:rPr>
          <w:rFonts w:ascii="Calibri" w:hAnsi="Calibri" w:cs="Calibri"/>
        </w:rPr>
        <w:t> </w:t>
      </w:r>
      <w:r>
        <w:t>;</w:t>
      </w:r>
    </w:p>
    <w:p w14:paraId="45227618" w14:textId="77777777" w:rsidR="003B0709" w:rsidRDefault="003B0709" w:rsidP="003B0709">
      <w:pPr>
        <w:ind w:left="0" w:firstLine="0"/>
      </w:pPr>
    </w:p>
    <w:p w14:paraId="76A12B43" w14:textId="3AF17799" w:rsidR="00EF0E5D" w:rsidRDefault="00EF52C6" w:rsidP="00BE648D">
      <w:pPr>
        <w:ind w:left="0" w:firstLine="0"/>
      </w:pPr>
      <w:r>
        <w:t xml:space="preserve">Dans le cadre d’un consortium, </w:t>
      </w:r>
      <w:r w:rsidR="0C62AE62">
        <w:t>l’accès à la base IN</w:t>
      </w:r>
      <w:r w:rsidR="003B0709">
        <w:t>I</w:t>
      </w:r>
      <w:r w:rsidR="0C62AE62">
        <w:t>ES est mutualisé</w:t>
      </w:r>
      <w:r w:rsidR="1A60AABF">
        <w:t>.</w:t>
      </w:r>
      <w:r w:rsidR="29D5D40A">
        <w:t xml:space="preserve"> Le consortium s’acquitte donc </w:t>
      </w:r>
      <w:r w:rsidR="36A300D2">
        <w:t>de la contribution financière de 300€ (obligatoire uniquement pour les contributions sur le volet carbone)</w:t>
      </w:r>
      <w:r w:rsidR="003B0709">
        <w:t>.</w:t>
      </w:r>
    </w:p>
    <w:p w14:paraId="51796C94" w14:textId="16818C20" w:rsidR="00EF0E5D" w:rsidRDefault="2704685A" w:rsidP="000A60B6">
      <w:r>
        <w:t>Chaque</w:t>
      </w:r>
      <w:r w:rsidR="00EF52C6">
        <w:t xml:space="preserve"> organisation </w:t>
      </w:r>
      <w:r w:rsidR="00423027">
        <w:t xml:space="preserve">du consortium </w:t>
      </w:r>
      <w:r w:rsidR="00EF52C6">
        <w:t>s’acquitte de la contribution financière de</w:t>
      </w:r>
      <w:r w:rsidR="003B0709">
        <w:t> :</w:t>
      </w:r>
    </w:p>
    <w:p w14:paraId="3078AB5B" w14:textId="54AB7A23" w:rsidR="00EF52C6" w:rsidRPr="000A60B6" w:rsidRDefault="00EF52C6" w:rsidP="0028366F">
      <w:pPr>
        <w:pStyle w:val="Paragraphedeliste"/>
        <w:numPr>
          <w:ilvl w:val="0"/>
          <w:numId w:val="10"/>
        </w:numPr>
      </w:pPr>
      <w:r w:rsidRPr="000A60B6">
        <w:t>2</w:t>
      </w:r>
      <w:r w:rsidR="00C37CD1" w:rsidRPr="00EF0E5D">
        <w:rPr>
          <w:rFonts w:ascii="Calibri" w:hAnsi="Calibri" w:cs="Calibri"/>
        </w:rPr>
        <w:t> </w:t>
      </w:r>
      <w:r w:rsidRPr="000A60B6">
        <w:t>000</w:t>
      </w:r>
      <w:r w:rsidR="00C37CD1" w:rsidRPr="00EF0E5D">
        <w:rPr>
          <w:rFonts w:ascii="Calibri" w:hAnsi="Calibri" w:cs="Calibri"/>
        </w:rPr>
        <w:t> </w:t>
      </w:r>
      <w:r w:rsidRPr="000A60B6">
        <w:t>€</w:t>
      </w:r>
      <w:r w:rsidR="00C37CD1" w:rsidRPr="00EF0E5D">
        <w:rPr>
          <w:rFonts w:ascii="Calibri" w:hAnsi="Calibri" w:cs="Calibri"/>
        </w:rPr>
        <w:t> </w:t>
      </w:r>
      <w:r w:rsidRPr="000A60B6">
        <w:t>HT auprès du CSTB pour</w:t>
      </w:r>
      <w:r w:rsidRPr="00EF0E5D">
        <w:rPr>
          <w:rFonts w:ascii="Calibri" w:hAnsi="Calibri" w:cs="Calibri"/>
        </w:rPr>
        <w:t> </w:t>
      </w:r>
      <w:r w:rsidRPr="000A60B6">
        <w:t>:</w:t>
      </w:r>
    </w:p>
    <w:p w14:paraId="205286C5" w14:textId="7C1DE4F3" w:rsidR="00EF52C6" w:rsidRPr="000A60B6" w:rsidRDefault="00C37CD1" w:rsidP="0028366F">
      <w:pPr>
        <w:pStyle w:val="Paragraphedeliste"/>
        <w:numPr>
          <w:ilvl w:val="1"/>
          <w:numId w:val="10"/>
        </w:numPr>
      </w:pPr>
      <w:r w:rsidRPr="000A60B6">
        <w:t>La</w:t>
      </w:r>
      <w:r w:rsidR="00EF52C6" w:rsidRPr="000A60B6">
        <w:t xml:space="preserve"> mise à disposition </w:t>
      </w:r>
      <w:r w:rsidR="00BA36AB">
        <w:t xml:space="preserve">d’une licence </w:t>
      </w:r>
      <w:r w:rsidR="00EF52C6" w:rsidRPr="000A60B6">
        <w:t>de l’outil éner</w:t>
      </w:r>
      <w:r w:rsidR="000A60B6">
        <w:t>gie et de l'interface associée</w:t>
      </w:r>
      <w:r w:rsidR="000A60B6" w:rsidRPr="00EF0E5D">
        <w:rPr>
          <w:rFonts w:ascii="Calibri" w:hAnsi="Calibri" w:cs="Calibri"/>
        </w:rPr>
        <w:t> </w:t>
      </w:r>
      <w:r w:rsidR="000A60B6">
        <w:t>;</w:t>
      </w:r>
    </w:p>
    <w:p w14:paraId="1908FCB3" w14:textId="32E32BD0" w:rsidR="00EF52C6" w:rsidRPr="000A60B6" w:rsidRDefault="00F824AE" w:rsidP="0028366F">
      <w:pPr>
        <w:pStyle w:val="Paragraphedeliste"/>
        <w:numPr>
          <w:ilvl w:val="1"/>
          <w:numId w:val="10"/>
        </w:numPr>
      </w:pPr>
      <w:r>
        <w:t>La mise à disposition d’une licence de</w:t>
      </w:r>
      <w:r w:rsidRPr="000A60B6">
        <w:t xml:space="preserve"> </w:t>
      </w:r>
      <w:r w:rsidR="00EF52C6" w:rsidRPr="000A60B6">
        <w:t>l'outil Environnement</w:t>
      </w:r>
      <w:r w:rsidR="000A60B6" w:rsidRPr="00EF0E5D">
        <w:rPr>
          <w:rFonts w:ascii="Calibri" w:hAnsi="Calibri" w:cs="Calibri"/>
        </w:rPr>
        <w:t> </w:t>
      </w:r>
      <w:r w:rsidR="000A60B6">
        <w:t>;</w:t>
      </w:r>
    </w:p>
    <w:p w14:paraId="26179DEA" w14:textId="0D074A7E" w:rsidR="00EF52C6" w:rsidRDefault="00C37CD1" w:rsidP="0028366F">
      <w:pPr>
        <w:pStyle w:val="Paragraphedeliste"/>
        <w:numPr>
          <w:ilvl w:val="1"/>
          <w:numId w:val="10"/>
        </w:numPr>
        <w:spacing w:after="240"/>
        <w:ind w:left="1423" w:hanging="357"/>
        <w:contextualSpacing w:val="0"/>
      </w:pPr>
      <w:r w:rsidRPr="000A60B6">
        <w:t>Le</w:t>
      </w:r>
      <w:r w:rsidR="00EF52C6" w:rsidRPr="000A60B6">
        <w:t xml:space="preserve"> suivi des demandes pour l'installation et le débogage informatique, et réponses du CSTB</w:t>
      </w:r>
      <w:r w:rsidR="000A60B6">
        <w:t>.</w:t>
      </w:r>
    </w:p>
    <w:p w14:paraId="6BC17BF8" w14:textId="7B4FF688" w:rsidR="00EF0E5D" w:rsidRDefault="00EF0E5D" w:rsidP="0028366F">
      <w:pPr>
        <w:pStyle w:val="Paragraphedeliste"/>
        <w:numPr>
          <w:ilvl w:val="0"/>
          <w:numId w:val="10"/>
        </w:numPr>
      </w:pPr>
      <w:r>
        <w:t>ou 1500€ HT pour</w:t>
      </w:r>
      <w:r>
        <w:rPr>
          <w:rFonts w:ascii="Calibri" w:hAnsi="Calibri" w:cs="Calibri"/>
        </w:rPr>
        <w:t> </w:t>
      </w:r>
      <w:r>
        <w:t>:</w:t>
      </w:r>
    </w:p>
    <w:p w14:paraId="72A7AD5E" w14:textId="08F147E3" w:rsidR="00EF0E5D" w:rsidRPr="000A60B6" w:rsidRDefault="00EF0E5D" w:rsidP="00EF0E5D">
      <w:pPr>
        <w:pStyle w:val="Paragraphedeliste"/>
        <w:numPr>
          <w:ilvl w:val="1"/>
          <w:numId w:val="10"/>
        </w:numPr>
      </w:pPr>
      <w:r w:rsidRPr="000A60B6">
        <w:t>La mise à disposition</w:t>
      </w:r>
      <w:r w:rsidR="00BA36AB">
        <w:t xml:space="preserve"> d’une licence</w:t>
      </w:r>
      <w:r w:rsidRPr="000A60B6">
        <w:t xml:space="preserve"> de l’outil éner</w:t>
      </w:r>
      <w:r>
        <w:t>gie et de l'interface associée</w:t>
      </w:r>
      <w:r w:rsidRPr="0075642F">
        <w:rPr>
          <w:rFonts w:ascii="Calibri" w:hAnsi="Calibri" w:cs="Calibri"/>
        </w:rPr>
        <w:t> </w:t>
      </w:r>
      <w:r>
        <w:t>;</w:t>
      </w:r>
    </w:p>
    <w:p w14:paraId="5B1F7241" w14:textId="77777777" w:rsidR="00EF0E5D" w:rsidRDefault="00EF0E5D" w:rsidP="00EF0E5D">
      <w:pPr>
        <w:pStyle w:val="Paragraphedeliste"/>
        <w:numPr>
          <w:ilvl w:val="1"/>
          <w:numId w:val="10"/>
        </w:numPr>
      </w:pPr>
      <w:r w:rsidRPr="000A60B6">
        <w:t>Le suivi des demandes pour l'installation et le débogage informatique, et réponses du CSTB</w:t>
      </w:r>
      <w:r>
        <w:t>.</w:t>
      </w:r>
    </w:p>
    <w:p w14:paraId="7B05B870" w14:textId="2EAE70EC" w:rsidR="00FF72D1" w:rsidRDefault="00FF72D1" w:rsidP="0028366F">
      <w:pPr>
        <w:ind w:left="0" w:firstLine="0"/>
      </w:pPr>
    </w:p>
    <w:p w14:paraId="752EDA4F" w14:textId="4255BC34" w:rsidR="00FF72D1" w:rsidRPr="000A60B6" w:rsidRDefault="00FF72D1" w:rsidP="0028366F">
      <w:pPr>
        <w:ind w:left="0" w:firstLine="0"/>
      </w:pPr>
      <w:r>
        <w:t>L’organisation peut également demander des accès logiciels supplémentaires au détail. Elle devra alors s’acquitter auprès du CSTB d’une contribution de 1500€</w:t>
      </w:r>
      <w:r w:rsidR="00EF0E5D">
        <w:t xml:space="preserve"> </w:t>
      </w:r>
      <w:r>
        <w:t xml:space="preserve">HT pour </w:t>
      </w:r>
      <w:r w:rsidR="00D86B50">
        <w:t>une licence supplémentaire de</w:t>
      </w:r>
      <w:r>
        <w:t xml:space="preserve"> l’outil énergie et 500€</w:t>
      </w:r>
      <w:r w:rsidR="00EF0E5D">
        <w:t xml:space="preserve"> </w:t>
      </w:r>
      <w:r>
        <w:t xml:space="preserve">HT pour </w:t>
      </w:r>
      <w:r w:rsidR="00D86B50">
        <w:t>à une licence supplémentaire de</w:t>
      </w:r>
      <w:r>
        <w:t xml:space="preserve"> l’outil Environnement.</w:t>
      </w:r>
    </w:p>
    <w:p w14:paraId="7311E169" w14:textId="77777777" w:rsidR="00A5315A" w:rsidRPr="000A60B6" w:rsidRDefault="00A5315A" w:rsidP="000A60B6"/>
    <w:p w14:paraId="10017D52" w14:textId="01E43A23" w:rsidR="00A5315A" w:rsidRDefault="00B94159" w:rsidP="000A60B6">
      <w:r w:rsidRPr="000A60B6">
        <w:t>Le CSTB ne peut pas être contacté dans le cadre de la mise à disposition des outils</w:t>
      </w:r>
      <w:r w:rsidR="00C37CD1">
        <w:t>. Seule, la DHUP</w:t>
      </w:r>
      <w:r w:rsidRPr="000A60B6">
        <w:t xml:space="preserve"> </w:t>
      </w:r>
      <w:r w:rsidR="00C37CD1">
        <w:t xml:space="preserve">peut mettre en </w:t>
      </w:r>
      <w:r w:rsidRPr="000A60B6">
        <w:t xml:space="preserve">relation l'organisation à l'origine de la demande </w:t>
      </w:r>
      <w:r w:rsidR="00C37CD1">
        <w:t>et le CSTB.</w:t>
      </w:r>
    </w:p>
    <w:p w14:paraId="2B9702FE" w14:textId="77777777" w:rsidR="00EF0E5D" w:rsidRDefault="00EF0E5D" w:rsidP="000A60B6"/>
    <w:p w14:paraId="2DD8F5F8" w14:textId="77777777" w:rsidR="00952BAD" w:rsidRDefault="00952BAD" w:rsidP="000A60B6"/>
    <w:p w14:paraId="24317627" w14:textId="3088BCE2" w:rsidR="00A5315A" w:rsidRPr="000A60B6" w:rsidRDefault="00B94159" w:rsidP="00C37CD1">
      <w:pPr>
        <w:pStyle w:val="Titre1"/>
      </w:pPr>
      <w:r w:rsidRPr="000A60B6">
        <w:t xml:space="preserve">Article 3 : Règles générales d’utilisation </w:t>
      </w:r>
      <w:r w:rsidR="00952BAD">
        <w:t>des outils</w:t>
      </w:r>
      <w:r w:rsidR="00881117">
        <w:t xml:space="preserve"> </w:t>
      </w:r>
      <w:r w:rsidR="00881117" w:rsidRPr="00952BAD">
        <w:t>Maestro Energie et Maestro Environnement</w:t>
      </w:r>
    </w:p>
    <w:p w14:paraId="188E74F6" w14:textId="77777777" w:rsidR="00711FFD" w:rsidRDefault="00711FFD" w:rsidP="000A60B6"/>
    <w:p w14:paraId="2C29BD16" w14:textId="77777777" w:rsidR="00A5315A" w:rsidRPr="000A60B6" w:rsidRDefault="00B94159" w:rsidP="000A60B6">
      <w:r w:rsidRPr="000A60B6">
        <w:t>Les outils de calcul ne peuvent être utilisés que dans la cadre de la demande validée par la DHUP, sa</w:t>
      </w:r>
      <w:r w:rsidR="00EC305A">
        <w:t>uf accord préalable de la DHUP.</w:t>
      </w:r>
    </w:p>
    <w:p w14:paraId="5847C5EA" w14:textId="77777777" w:rsidR="00EF52C6" w:rsidRPr="000A60B6" w:rsidRDefault="00EF52C6" w:rsidP="000A60B6"/>
    <w:p w14:paraId="54808271" w14:textId="571FF32E" w:rsidR="00A5315A" w:rsidRPr="000A60B6" w:rsidRDefault="00B94159" w:rsidP="000A60B6">
      <w:r w:rsidRPr="000A60B6">
        <w:t>Le CSTB ne peut être sollicité que pour un support technique pour l’installation et le débogage des outils. Le CSTB ne peut, en aucun cas, être sollicité pour des questions sur la méthode sous-jacente à ces outils durant la période de mise à disposition de</w:t>
      </w:r>
      <w:r w:rsidR="00C37CD1">
        <w:t>s outils</w:t>
      </w:r>
      <w:r w:rsidR="00952BAD">
        <w:t xml:space="preserve"> en dehors de la formation précisée à l’article suivant</w:t>
      </w:r>
      <w:r w:rsidR="00C37CD1">
        <w:t>.</w:t>
      </w:r>
    </w:p>
    <w:p w14:paraId="6118FA1F" w14:textId="77777777" w:rsidR="00A5315A" w:rsidRPr="000A60B6" w:rsidRDefault="00A5315A" w:rsidP="000A60B6"/>
    <w:p w14:paraId="164065A2" w14:textId="58F29B31" w:rsidR="00A5315A" w:rsidRPr="000A60B6" w:rsidRDefault="00B94159" w:rsidP="000A60B6">
      <w:r w:rsidRPr="000A60B6">
        <w:t xml:space="preserve">Les membres du </w:t>
      </w:r>
      <w:r w:rsidR="00EC305A">
        <w:t>GTM2</w:t>
      </w:r>
      <w:r w:rsidRPr="000A60B6">
        <w:t xml:space="preserve"> ne peuvent pas être sollicités pour des questions sur la méthode sous-jacente aux outils durant la période de mise à disposition des outils ainsi que pour des questions relatives aux travaux du </w:t>
      </w:r>
      <w:r w:rsidR="00EC305A">
        <w:t>GTM2</w:t>
      </w:r>
      <w:r w:rsidR="00067DAA">
        <w:t xml:space="preserve"> (hypothèses, simulations, …)</w:t>
      </w:r>
      <w:r w:rsidR="00952BAD">
        <w:t xml:space="preserve"> en dehors de la formation précisée à l’article suivant)</w:t>
      </w:r>
      <w:r w:rsidR="00067DAA">
        <w:t>.</w:t>
      </w:r>
    </w:p>
    <w:p w14:paraId="3F87C0AF" w14:textId="77777777" w:rsidR="00A5315A" w:rsidRPr="000A60B6" w:rsidRDefault="00A5315A" w:rsidP="000A60B6"/>
    <w:p w14:paraId="55F7C254" w14:textId="77777777" w:rsidR="00A5315A" w:rsidRPr="000A60B6" w:rsidRDefault="00B94159" w:rsidP="000A60B6">
      <w:r w:rsidRPr="000A60B6">
        <w:t xml:space="preserve">En revanche, les membres du </w:t>
      </w:r>
      <w:r w:rsidR="00EC305A">
        <w:t>GTM2</w:t>
      </w:r>
      <w:r w:rsidRPr="000A60B6">
        <w:t xml:space="preserve"> peuvent être sollicités au même titre qu’un bureau d’études n’ayant pas participé au </w:t>
      </w:r>
      <w:r w:rsidR="00EC305A">
        <w:t>GTM2</w:t>
      </w:r>
      <w:r w:rsidR="00711FFD">
        <w:t xml:space="preserve"> pour réaliser des simulations.</w:t>
      </w:r>
    </w:p>
    <w:p w14:paraId="1CE6F8AB" w14:textId="60478E46" w:rsidR="00A5315A" w:rsidRDefault="00B94159" w:rsidP="000A60B6">
      <w:r w:rsidRPr="000A60B6">
        <w:t>Pour ces simulations, ils sont soumis à cette présente charte ainsi qu’à</w:t>
      </w:r>
      <w:r w:rsidR="00711FFD">
        <w:t xml:space="preserve"> la demande d’accès aux outils.</w:t>
      </w:r>
    </w:p>
    <w:p w14:paraId="4E53E24D" w14:textId="638FF0AB" w:rsidR="00704A1B" w:rsidRDefault="00704A1B" w:rsidP="005E3BDE">
      <w:pPr>
        <w:ind w:left="0" w:firstLine="0"/>
      </w:pPr>
    </w:p>
    <w:p w14:paraId="2410C34A" w14:textId="77777777" w:rsidR="00704A1B" w:rsidRPr="000A60B6" w:rsidRDefault="00704A1B" w:rsidP="005E3BDE">
      <w:pPr>
        <w:ind w:left="0" w:firstLine="0"/>
      </w:pPr>
    </w:p>
    <w:p w14:paraId="6995BE70" w14:textId="3219657F" w:rsidR="00A5315A" w:rsidRDefault="00881117" w:rsidP="00881117">
      <w:pPr>
        <w:pStyle w:val="Titre1"/>
      </w:pPr>
      <w:r>
        <w:t>Article 4</w:t>
      </w:r>
      <w:r>
        <w:rPr>
          <w:rFonts w:ascii="Calibri" w:hAnsi="Calibri" w:cs="Calibri"/>
        </w:rPr>
        <w:t> </w:t>
      </w:r>
      <w:r>
        <w:t>: Participation à la formation «</w:t>
      </w:r>
      <w:r>
        <w:rPr>
          <w:rFonts w:ascii="Calibri" w:hAnsi="Calibri" w:cs="Calibri"/>
        </w:rPr>
        <w:t> </w:t>
      </w:r>
      <w:r>
        <w:t>méthode de travail</w:t>
      </w:r>
      <w:r>
        <w:rPr>
          <w:rFonts w:ascii="Calibri" w:hAnsi="Calibri" w:cs="Calibri"/>
        </w:rPr>
        <w:t> </w:t>
      </w:r>
      <w:r>
        <w:rPr>
          <w:rFonts w:cs="Marianne"/>
        </w:rPr>
        <w:t>»</w:t>
      </w:r>
    </w:p>
    <w:p w14:paraId="13578EDC" w14:textId="20DC4C6F" w:rsidR="00881117" w:rsidRDefault="00881117" w:rsidP="00881117"/>
    <w:p w14:paraId="6FB869D6" w14:textId="147B54D3" w:rsidR="00E96D82" w:rsidRDefault="009D40A3" w:rsidP="00E96D82">
      <w:pPr>
        <w:ind w:left="0" w:firstLine="0"/>
      </w:pPr>
      <w:r>
        <w:t>Une demi-jour</w:t>
      </w:r>
      <w:r w:rsidR="00FF72D1">
        <w:t>née de formation sera organisée</w:t>
      </w:r>
      <w:r>
        <w:t xml:space="preserve"> afin de</w:t>
      </w:r>
      <w:r w:rsidR="00213FCB">
        <w:t xml:space="preserve"> présenter le mode de fonctionnement et le cadre du GTM2, et de </w:t>
      </w:r>
      <w:r>
        <w:t>permettre aux acteurs de prendre en mains les logiciels Ma</w:t>
      </w:r>
      <w:r w:rsidR="00213FCB">
        <w:t>estro Energie et Maestro ENV</w:t>
      </w:r>
      <w:r>
        <w:t xml:space="preserve">. Cette demi-journée de formation sera </w:t>
      </w:r>
      <w:r w:rsidR="005D40FC">
        <w:t>d</w:t>
      </w:r>
      <w:r w:rsidR="00213FCB">
        <w:t>ispensée par le CSTB et le Lot Pilote</w:t>
      </w:r>
      <w:r w:rsidR="005D40FC">
        <w:t xml:space="preserve"> et </w:t>
      </w:r>
      <w:r>
        <w:t>financée</w:t>
      </w:r>
      <w:r w:rsidR="00213FCB">
        <w:t xml:space="preserve"> </w:t>
      </w:r>
      <w:r>
        <w:t>par la DHUP.</w:t>
      </w:r>
      <w:r w:rsidR="008C712A">
        <w:t xml:space="preserve"> La participation à cette demi-journée de formation est vivement recommandée.</w:t>
      </w:r>
    </w:p>
    <w:p w14:paraId="0037FC31" w14:textId="77777777" w:rsidR="00E96D82" w:rsidRDefault="00E96D82" w:rsidP="00E96D82">
      <w:pPr>
        <w:ind w:left="0" w:firstLine="0"/>
      </w:pPr>
    </w:p>
    <w:p w14:paraId="56B06090" w14:textId="7219BACD" w:rsidR="00DF7570" w:rsidRDefault="00DF7570" w:rsidP="00E96D82">
      <w:pPr>
        <w:ind w:left="0" w:firstLine="0"/>
      </w:pPr>
    </w:p>
    <w:p w14:paraId="368C38A2" w14:textId="5613B274" w:rsidR="00A5315A" w:rsidRPr="000A60B6" w:rsidRDefault="00EC305A">
      <w:bookmarkStart w:id="0" w:name="_GoBack"/>
      <w:bookmarkEnd w:id="0"/>
      <w:r w:rsidRPr="0088428F">
        <w:t>Je soussigné</w:t>
      </w:r>
      <w:r>
        <w:t>(e)</w:t>
      </w:r>
      <w:r w:rsidRPr="0088428F">
        <w:t xml:space="preserve">, </w:t>
      </w:r>
      <w:r w:rsidRPr="0023397F">
        <w:rPr>
          <w:highlight w:val="yellow"/>
        </w:rPr>
        <w:t>[A compléter]</w:t>
      </w:r>
      <w:r w:rsidRPr="0088428F">
        <w:t>, en tant que représentant légal de l’organisation</w:t>
      </w:r>
      <w:r>
        <w:t xml:space="preserve"> </w:t>
      </w:r>
      <w:r w:rsidRPr="0023397F">
        <w:rPr>
          <w:highlight w:val="yellow"/>
        </w:rPr>
        <w:t>[A compléter]</w:t>
      </w:r>
      <w:r w:rsidRPr="0088428F">
        <w:t xml:space="preserve">, située </w:t>
      </w:r>
      <w:r w:rsidRPr="0023397F">
        <w:rPr>
          <w:highlight w:val="yellow"/>
        </w:rPr>
        <w:t>[A compléter]</w:t>
      </w:r>
      <w:r w:rsidRPr="0088428F">
        <w:t xml:space="preserve"> immatriculée sous le n° </w:t>
      </w:r>
      <w:r w:rsidRPr="0023397F">
        <w:rPr>
          <w:highlight w:val="yellow"/>
        </w:rPr>
        <w:t>[A compléter]</w:t>
      </w:r>
      <w:r w:rsidRPr="0088428F">
        <w:t xml:space="preserve">, </w:t>
      </w:r>
      <w:r w:rsidR="00B94159" w:rsidRPr="000A60B6">
        <w:t>m’engage à respecter la présente charte</w:t>
      </w:r>
      <w:r w:rsidR="00C37CD1">
        <w:t xml:space="preserve"> et à la faire respecter aux utilisateurs définis à l’article 1 de la présente charte.</w:t>
      </w:r>
    </w:p>
    <w:p w14:paraId="3C65802F" w14:textId="77777777" w:rsidR="00A5315A" w:rsidRPr="000A60B6" w:rsidRDefault="00A5315A" w:rsidP="000A60B6"/>
    <w:p w14:paraId="1CF3630B" w14:textId="77777777" w:rsidR="00EC305A" w:rsidRPr="0088428F" w:rsidRDefault="00B94159" w:rsidP="00EC305A">
      <w:pPr>
        <w:ind w:left="6804"/>
      </w:pPr>
      <w:r w:rsidRPr="000A60B6">
        <w:t xml:space="preserve">Fait à </w:t>
      </w:r>
      <w:r w:rsidR="00EC305A" w:rsidRPr="0023397F">
        <w:rPr>
          <w:highlight w:val="yellow"/>
        </w:rPr>
        <w:t>[A compléter]</w:t>
      </w:r>
      <w:r w:rsidR="00EC305A" w:rsidRPr="0088428F">
        <w:t xml:space="preserve">, le </w:t>
      </w:r>
      <w:r w:rsidR="00EC305A" w:rsidRPr="0023397F">
        <w:rPr>
          <w:highlight w:val="yellow"/>
        </w:rPr>
        <w:t>[A compléter]</w:t>
      </w:r>
    </w:p>
    <w:p w14:paraId="402B59EA" w14:textId="77777777" w:rsidR="00A5315A" w:rsidRPr="000A60B6" w:rsidRDefault="00A5315A" w:rsidP="000A60B6"/>
    <w:sectPr w:rsidR="00A5315A" w:rsidRPr="000A60B6" w:rsidSect="00BE648D">
      <w:headerReference w:type="default" r:id="rId10"/>
      <w:footerReference w:type="default" r:id="rId11"/>
      <w:pgSz w:w="11907" w:h="16840" w:code="9"/>
      <w:pgMar w:top="851" w:right="567" w:bottom="851" w:left="567" w:header="34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0B85" w16cex:dateUtc="2023-03-2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7ACE1" w16cid:durableId="27C30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A565" w14:textId="77777777" w:rsidR="00852191" w:rsidRDefault="00852191" w:rsidP="000A60B6">
      <w:r>
        <w:separator/>
      </w:r>
    </w:p>
  </w:endnote>
  <w:endnote w:type="continuationSeparator" w:id="0">
    <w:p w14:paraId="3EF967F5" w14:textId="77777777" w:rsidR="00852191" w:rsidRDefault="00852191" w:rsidP="000A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86963"/>
      <w:docPartObj>
        <w:docPartGallery w:val="Page Numbers (Bottom of Page)"/>
        <w:docPartUnique/>
      </w:docPartObj>
    </w:sdtPr>
    <w:sdtEndPr/>
    <w:sdtContent>
      <w:p w14:paraId="5D32AFC4" w14:textId="77777777" w:rsidR="00711FFD" w:rsidRDefault="00711FFD">
        <w:pPr>
          <w:pStyle w:val="Pieddepage"/>
          <w:jc w:val="right"/>
        </w:pPr>
      </w:p>
      <w:p w14:paraId="7C8DD5C8" w14:textId="59F85BC3" w:rsidR="004F735F" w:rsidRDefault="00711FFD" w:rsidP="00711FFD">
        <w:pPr>
          <w:pStyle w:val="Pieddepage"/>
          <w:jc w:val="right"/>
        </w:pPr>
        <w:r>
          <w:fldChar w:fldCharType="begin"/>
        </w:r>
        <w:r>
          <w:instrText>PAGE   \* MERGEFORMAT</w:instrText>
        </w:r>
        <w:r>
          <w:fldChar w:fldCharType="separate"/>
        </w:r>
        <w:r w:rsidR="003B070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2C0D" w14:textId="77777777" w:rsidR="00852191" w:rsidRDefault="00852191" w:rsidP="000A60B6">
      <w:r>
        <w:separator/>
      </w:r>
    </w:p>
  </w:footnote>
  <w:footnote w:type="continuationSeparator" w:id="0">
    <w:p w14:paraId="4E74009C" w14:textId="77777777" w:rsidR="00852191" w:rsidRDefault="00852191" w:rsidP="000A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EC7" w14:textId="5EB7807E" w:rsidR="00BE648D" w:rsidRPr="00BE648D" w:rsidRDefault="00BE648D" w:rsidP="00BE648D">
    <w:pPr>
      <w:pStyle w:val="En-tte"/>
      <w:rPr>
        <w:color w:val="7F7F7F" w:themeColor="text1" w:themeTint="80"/>
      </w:rPr>
    </w:pPr>
    <w:r w:rsidRPr="00BE648D">
      <w:rPr>
        <w:color w:val="7F7F7F" w:themeColor="text1" w:themeTint="80"/>
      </w:rPr>
      <w:t>DGALN/DHUP/QC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D93"/>
    <w:multiLevelType w:val="hybridMultilevel"/>
    <w:tmpl w:val="2EDE5278"/>
    <w:lvl w:ilvl="0" w:tplc="1362099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667CF"/>
    <w:multiLevelType w:val="hybridMultilevel"/>
    <w:tmpl w:val="7F00A4B2"/>
    <w:lvl w:ilvl="0" w:tplc="13620998">
      <w:start w:val="1"/>
      <w:numFmt w:val="bullet"/>
      <w:lvlText w:val="-"/>
      <w:lvlJc w:val="left"/>
      <w:pPr>
        <w:ind w:left="1004"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AC244BF"/>
    <w:multiLevelType w:val="hybridMultilevel"/>
    <w:tmpl w:val="4412E060"/>
    <w:lvl w:ilvl="0" w:tplc="1362099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37A79"/>
    <w:multiLevelType w:val="hybridMultilevel"/>
    <w:tmpl w:val="899EF5CA"/>
    <w:lvl w:ilvl="0" w:tplc="DBAE34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4667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B067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02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497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B62D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F028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EC4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04DE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1825F7"/>
    <w:multiLevelType w:val="hybridMultilevel"/>
    <w:tmpl w:val="3B7EA6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2F227A8"/>
    <w:multiLevelType w:val="hybridMultilevel"/>
    <w:tmpl w:val="38E2ADEE"/>
    <w:lvl w:ilvl="0" w:tplc="13620998">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FCBAB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9CEF8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803D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8A830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C08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072D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0C6F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3CD1D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156D43"/>
    <w:multiLevelType w:val="hybridMultilevel"/>
    <w:tmpl w:val="D7989F70"/>
    <w:lvl w:ilvl="0" w:tplc="1362099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2246F"/>
    <w:multiLevelType w:val="hybridMultilevel"/>
    <w:tmpl w:val="DF1CE432"/>
    <w:lvl w:ilvl="0" w:tplc="1362099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183AB4"/>
    <w:multiLevelType w:val="hybridMultilevel"/>
    <w:tmpl w:val="71DC6262"/>
    <w:lvl w:ilvl="0" w:tplc="13620998">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9" w15:restartNumberingAfterBreak="0">
    <w:nsid w:val="73984EA7"/>
    <w:multiLevelType w:val="hybridMultilevel"/>
    <w:tmpl w:val="530E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0"/>
  </w:num>
  <w:num w:numId="6">
    <w:abstractNumId w:val="6"/>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A"/>
    <w:rsid w:val="00040641"/>
    <w:rsid w:val="00065C33"/>
    <w:rsid w:val="00067DAA"/>
    <w:rsid w:val="000A60B6"/>
    <w:rsid w:val="000B3522"/>
    <w:rsid w:val="001C4219"/>
    <w:rsid w:val="00213FCB"/>
    <w:rsid w:val="0028366F"/>
    <w:rsid w:val="003249F8"/>
    <w:rsid w:val="00330AC1"/>
    <w:rsid w:val="003A47FE"/>
    <w:rsid w:val="003B0709"/>
    <w:rsid w:val="00423027"/>
    <w:rsid w:val="004C7F56"/>
    <w:rsid w:val="004F735F"/>
    <w:rsid w:val="005D40FC"/>
    <w:rsid w:val="005D5FDA"/>
    <w:rsid w:val="005E3BDE"/>
    <w:rsid w:val="0062136E"/>
    <w:rsid w:val="006278DC"/>
    <w:rsid w:val="006479DF"/>
    <w:rsid w:val="00692D8A"/>
    <w:rsid w:val="006A58D0"/>
    <w:rsid w:val="006D3AC8"/>
    <w:rsid w:val="00704A1B"/>
    <w:rsid w:val="00711FFD"/>
    <w:rsid w:val="00722756"/>
    <w:rsid w:val="00761087"/>
    <w:rsid w:val="00852191"/>
    <w:rsid w:val="008620CB"/>
    <w:rsid w:val="00874642"/>
    <w:rsid w:val="00881117"/>
    <w:rsid w:val="008C712A"/>
    <w:rsid w:val="00914526"/>
    <w:rsid w:val="0091570D"/>
    <w:rsid w:val="00952BAD"/>
    <w:rsid w:val="009D40A3"/>
    <w:rsid w:val="00A03AA4"/>
    <w:rsid w:val="00A17BC0"/>
    <w:rsid w:val="00A34DBA"/>
    <w:rsid w:val="00A5315A"/>
    <w:rsid w:val="00AA6EB0"/>
    <w:rsid w:val="00AC5A96"/>
    <w:rsid w:val="00AF7295"/>
    <w:rsid w:val="00B8589A"/>
    <w:rsid w:val="00B94159"/>
    <w:rsid w:val="00BA36AB"/>
    <w:rsid w:val="00BE648D"/>
    <w:rsid w:val="00C37CD1"/>
    <w:rsid w:val="00D86B50"/>
    <w:rsid w:val="00DB0CFF"/>
    <w:rsid w:val="00DF09F7"/>
    <w:rsid w:val="00DF7570"/>
    <w:rsid w:val="00E70532"/>
    <w:rsid w:val="00E77BCE"/>
    <w:rsid w:val="00E87C0B"/>
    <w:rsid w:val="00E96D82"/>
    <w:rsid w:val="00EC305A"/>
    <w:rsid w:val="00EF0E5D"/>
    <w:rsid w:val="00EF52C6"/>
    <w:rsid w:val="00F824AE"/>
    <w:rsid w:val="00FE46EE"/>
    <w:rsid w:val="00FF72D1"/>
    <w:rsid w:val="06FD2736"/>
    <w:rsid w:val="07CFD446"/>
    <w:rsid w:val="0A4716A4"/>
    <w:rsid w:val="0C62AE62"/>
    <w:rsid w:val="10A4097C"/>
    <w:rsid w:val="131286ED"/>
    <w:rsid w:val="1A60AABF"/>
    <w:rsid w:val="1B61DEA5"/>
    <w:rsid w:val="2194C7DC"/>
    <w:rsid w:val="266838FF"/>
    <w:rsid w:val="2704685A"/>
    <w:rsid w:val="29D5D40A"/>
    <w:rsid w:val="36A300D2"/>
    <w:rsid w:val="38FBEAFD"/>
    <w:rsid w:val="6BB58B9B"/>
    <w:rsid w:val="6E6B5697"/>
    <w:rsid w:val="706FD461"/>
    <w:rsid w:val="7543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7966"/>
  <w15:docId w15:val="{122BD243-A57A-44D8-998D-AE58D4F1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B6"/>
    <w:pPr>
      <w:spacing w:after="0" w:line="240" w:lineRule="auto"/>
      <w:ind w:left="-5" w:hanging="10"/>
      <w:contextualSpacing/>
      <w:jc w:val="both"/>
    </w:pPr>
    <w:rPr>
      <w:rFonts w:ascii="Marianne" w:eastAsia="Times New Roman" w:hAnsi="Marianne" w:cs="Times New Roman"/>
      <w:color w:val="000000"/>
      <w:sz w:val="20"/>
    </w:rPr>
  </w:style>
  <w:style w:type="paragraph" w:styleId="Titre1">
    <w:name w:val="heading 1"/>
    <w:next w:val="Normal"/>
    <w:link w:val="Titre1Car"/>
    <w:uiPriority w:val="9"/>
    <w:unhideWhenUsed/>
    <w:qFormat/>
    <w:rsid w:val="00C37CD1"/>
    <w:pPr>
      <w:keepNext/>
      <w:keepLines/>
      <w:spacing w:after="0" w:line="240" w:lineRule="auto"/>
      <w:ind w:left="-5" w:hanging="10"/>
      <w:contextualSpacing/>
      <w:jc w:val="both"/>
      <w:outlineLvl w:val="0"/>
    </w:pPr>
    <w:rPr>
      <w:rFonts w:ascii="Marianne" w:eastAsia="Times New Roman" w:hAnsi="Marianne" w:cs="Times New Roman"/>
      <w:b/>
      <w:color w:val="000000"/>
    </w:rPr>
  </w:style>
  <w:style w:type="paragraph" w:styleId="Titre2">
    <w:name w:val="heading 2"/>
    <w:basedOn w:val="Normal"/>
    <w:next w:val="Normal"/>
    <w:link w:val="Titre2Car"/>
    <w:uiPriority w:val="9"/>
    <w:semiHidden/>
    <w:unhideWhenUsed/>
    <w:qFormat/>
    <w:rsid w:val="003B07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37CD1"/>
    <w:rPr>
      <w:rFonts w:ascii="Marianne" w:eastAsia="Times New Roman" w:hAnsi="Marianne" w:cs="Times New Roman"/>
      <w:b/>
      <w:color w:val="000000"/>
    </w:rPr>
  </w:style>
  <w:style w:type="paragraph" w:styleId="En-tte">
    <w:name w:val="header"/>
    <w:basedOn w:val="Normal"/>
    <w:link w:val="En-tteCar"/>
    <w:uiPriority w:val="99"/>
    <w:unhideWhenUsed/>
    <w:rsid w:val="004F735F"/>
    <w:pPr>
      <w:tabs>
        <w:tab w:val="center" w:pos="4536"/>
        <w:tab w:val="right" w:pos="9072"/>
      </w:tabs>
    </w:pPr>
  </w:style>
  <w:style w:type="character" w:customStyle="1" w:styleId="En-tteCar">
    <w:name w:val="En-tête Car"/>
    <w:basedOn w:val="Policepardfaut"/>
    <w:link w:val="En-tte"/>
    <w:uiPriority w:val="99"/>
    <w:rsid w:val="004F735F"/>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4F735F"/>
    <w:pPr>
      <w:tabs>
        <w:tab w:val="center" w:pos="4536"/>
        <w:tab w:val="right" w:pos="9072"/>
      </w:tabs>
    </w:pPr>
  </w:style>
  <w:style w:type="character" w:customStyle="1" w:styleId="PieddepageCar">
    <w:name w:val="Pied de page Car"/>
    <w:basedOn w:val="Policepardfaut"/>
    <w:link w:val="Pieddepage"/>
    <w:uiPriority w:val="99"/>
    <w:rsid w:val="004F735F"/>
    <w:rPr>
      <w:rFonts w:ascii="Times New Roman" w:eastAsia="Times New Roman" w:hAnsi="Times New Roman" w:cs="Times New Roman"/>
      <w:color w:val="000000"/>
    </w:rPr>
  </w:style>
  <w:style w:type="paragraph" w:styleId="Titre">
    <w:name w:val="Title"/>
    <w:basedOn w:val="Normal"/>
    <w:next w:val="Normal"/>
    <w:link w:val="TitreCar"/>
    <w:uiPriority w:val="10"/>
    <w:qFormat/>
    <w:rsid w:val="000A60B6"/>
    <w:pPr>
      <w:spacing w:line="259" w:lineRule="auto"/>
      <w:ind w:left="0" w:firstLine="0"/>
      <w:jc w:val="center"/>
    </w:pPr>
    <w:rPr>
      <w:b/>
      <w:sz w:val="24"/>
    </w:rPr>
  </w:style>
  <w:style w:type="character" w:customStyle="1" w:styleId="TitreCar">
    <w:name w:val="Titre Car"/>
    <w:basedOn w:val="Policepardfaut"/>
    <w:link w:val="Titre"/>
    <w:uiPriority w:val="10"/>
    <w:rsid w:val="000A60B6"/>
    <w:rPr>
      <w:rFonts w:ascii="Marianne" w:eastAsia="Times New Roman" w:hAnsi="Marianne" w:cs="Times New Roman"/>
      <w:b/>
      <w:color w:val="000000"/>
      <w:sz w:val="24"/>
    </w:rPr>
  </w:style>
  <w:style w:type="paragraph" w:styleId="Paragraphedeliste">
    <w:name w:val="List Paragraph"/>
    <w:basedOn w:val="Normal"/>
    <w:uiPriority w:val="34"/>
    <w:qFormat/>
    <w:rsid w:val="000A60B6"/>
    <w:pPr>
      <w:ind w:left="720"/>
    </w:pPr>
  </w:style>
  <w:style w:type="character" w:styleId="Lienhypertexte">
    <w:name w:val="Hyperlink"/>
    <w:basedOn w:val="Policepardfaut"/>
    <w:uiPriority w:val="99"/>
    <w:unhideWhenUsed/>
    <w:rsid w:val="00711FFD"/>
    <w:rPr>
      <w:color w:val="0563C1" w:themeColor="hyperlink"/>
      <w:u w:val="single"/>
    </w:rPr>
  </w:style>
  <w:style w:type="character" w:styleId="Marquedecommentaire">
    <w:name w:val="annotation reference"/>
    <w:basedOn w:val="Policepardfaut"/>
    <w:uiPriority w:val="99"/>
    <w:semiHidden/>
    <w:unhideWhenUsed/>
    <w:rsid w:val="00C37CD1"/>
    <w:rPr>
      <w:sz w:val="16"/>
      <w:szCs w:val="16"/>
    </w:rPr>
  </w:style>
  <w:style w:type="paragraph" w:styleId="Commentaire">
    <w:name w:val="annotation text"/>
    <w:basedOn w:val="Normal"/>
    <w:link w:val="CommentaireCar"/>
    <w:uiPriority w:val="99"/>
    <w:semiHidden/>
    <w:unhideWhenUsed/>
    <w:rsid w:val="00C37CD1"/>
    <w:rPr>
      <w:szCs w:val="20"/>
    </w:rPr>
  </w:style>
  <w:style w:type="character" w:customStyle="1" w:styleId="CommentaireCar">
    <w:name w:val="Commentaire Car"/>
    <w:basedOn w:val="Policepardfaut"/>
    <w:link w:val="Commentaire"/>
    <w:uiPriority w:val="99"/>
    <w:semiHidden/>
    <w:rsid w:val="00C37CD1"/>
    <w:rPr>
      <w:rFonts w:ascii="Marianne" w:eastAsia="Times New Roman" w:hAnsi="Marianne"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C37CD1"/>
    <w:rPr>
      <w:b/>
      <w:bCs/>
    </w:rPr>
  </w:style>
  <w:style w:type="character" w:customStyle="1" w:styleId="ObjetducommentaireCar">
    <w:name w:val="Objet du commentaire Car"/>
    <w:basedOn w:val="CommentaireCar"/>
    <w:link w:val="Objetducommentaire"/>
    <w:uiPriority w:val="99"/>
    <w:semiHidden/>
    <w:rsid w:val="00C37CD1"/>
    <w:rPr>
      <w:rFonts w:ascii="Marianne" w:eastAsia="Times New Roman" w:hAnsi="Marianne" w:cs="Times New Roman"/>
      <w:b/>
      <w:bCs/>
      <w:color w:val="000000"/>
      <w:sz w:val="20"/>
      <w:szCs w:val="20"/>
    </w:rPr>
  </w:style>
  <w:style w:type="paragraph" w:styleId="Textedebulles">
    <w:name w:val="Balloon Text"/>
    <w:basedOn w:val="Normal"/>
    <w:link w:val="TextedebullesCar"/>
    <w:uiPriority w:val="99"/>
    <w:semiHidden/>
    <w:unhideWhenUsed/>
    <w:rsid w:val="00C37C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CD1"/>
    <w:rPr>
      <w:rFonts w:ascii="Segoe UI" w:eastAsia="Times New Roman" w:hAnsi="Segoe UI" w:cs="Segoe UI"/>
      <w:color w:val="000000"/>
      <w:sz w:val="18"/>
      <w:szCs w:val="18"/>
    </w:rPr>
  </w:style>
  <w:style w:type="paragraph" w:styleId="Rvision">
    <w:name w:val="Revision"/>
    <w:hidden/>
    <w:uiPriority w:val="99"/>
    <w:semiHidden/>
    <w:rsid w:val="00DF09F7"/>
    <w:pPr>
      <w:spacing w:after="0" w:line="240" w:lineRule="auto"/>
    </w:pPr>
    <w:rPr>
      <w:rFonts w:ascii="Marianne" w:eastAsia="Times New Roman" w:hAnsi="Marianne" w:cs="Times New Roman"/>
      <w:color w:val="000000"/>
      <w:sz w:val="20"/>
    </w:rPr>
  </w:style>
  <w:style w:type="character" w:customStyle="1" w:styleId="Titre2Car">
    <w:name w:val="Titre 2 Car"/>
    <w:basedOn w:val="Policepardfaut"/>
    <w:link w:val="Titre2"/>
    <w:uiPriority w:val="9"/>
    <w:semiHidden/>
    <w:rsid w:val="003B07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0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1058A80E9174EA5980915F103CDEC" ma:contentTypeVersion="4" ma:contentTypeDescription="Crée un document." ma:contentTypeScope="" ma:versionID="ce6efa6cdb71b6fd8b29a982263397be">
  <xsd:schema xmlns:xsd="http://www.w3.org/2001/XMLSchema" xmlns:xs="http://www.w3.org/2001/XMLSchema" xmlns:p="http://schemas.microsoft.com/office/2006/metadata/properties" xmlns:ns2="1fda82a9-fe65-4d58-ba94-28aa77cc77f9" xmlns:ns3="ec2d459c-2581-4d82-92be-56f02ecc6e6a" targetNamespace="http://schemas.microsoft.com/office/2006/metadata/properties" ma:root="true" ma:fieldsID="83e4a0186a64e308a21bf384e2786b96" ns2:_="" ns3:_="">
    <xsd:import namespace="1fda82a9-fe65-4d58-ba94-28aa77cc77f9"/>
    <xsd:import namespace="ec2d459c-2581-4d82-92be-56f02ecc6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82a9-fe65-4d58-ba94-28aa77cc7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d459c-2581-4d82-92be-56f02ecc6e6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065D-3FDB-4B4C-9C21-15862A63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82a9-fe65-4d58-ba94-28aa77cc77f9"/>
    <ds:schemaRef ds:uri="ec2d459c-2581-4d82-92be-56f02ecc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0E9FB-284A-4CB7-8205-78889DA16ED1}">
  <ds:schemaRefs>
    <ds:schemaRef ds:uri="http://schemas.microsoft.com/sharepoint/v3/contenttype/forms"/>
  </ds:schemaRefs>
</ds:datastoreItem>
</file>

<file path=customXml/itemProps3.xml><?xml version="1.0" encoding="utf-8"?>
<ds:datastoreItem xmlns:ds="http://schemas.openxmlformats.org/officeDocument/2006/customXml" ds:itemID="{4AC1B946-AF58-4657-8C6D-127EA163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PRADELLE Sylvain</dc:creator>
  <cp:keywords/>
  <dc:description/>
  <cp:lastModifiedBy>Sylvain PRADELLE (DHUP)</cp:lastModifiedBy>
  <cp:revision>2</cp:revision>
  <dcterms:created xsi:type="dcterms:W3CDTF">2023-10-02T07:38:00Z</dcterms:created>
  <dcterms:modified xsi:type="dcterms:W3CDTF">2023-10-02T07:38:00Z</dcterms:modified>
</cp:coreProperties>
</file>