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234" w:rsidRPr="00172234" w:rsidRDefault="00172234" w:rsidP="00172234">
      <w:pPr>
        <w:keepNext/>
        <w:keepLines/>
        <w:numPr>
          <w:ilvl w:val="2"/>
          <w:numId w:val="1"/>
        </w:numPr>
        <w:suppressAutoHyphens/>
        <w:spacing w:before="40" w:after="0" w:line="240" w:lineRule="auto"/>
        <w:outlineLvl w:val="2"/>
        <w15:collapsed/>
        <w:rPr>
          <w:rFonts w:ascii="Calibri" w:eastAsia="SimSun" w:hAnsi="Calibri" w:cs="Calibri"/>
          <w:b/>
          <w:sz w:val="28"/>
          <w:u w:val="single"/>
          <w:lang w:eastAsia="zh-CN" w:bidi="hi-IN"/>
        </w:rPr>
      </w:pPr>
      <w:r w:rsidRPr="00172234">
        <w:rPr>
          <w:rFonts w:ascii="Calibri" w:eastAsia="SimSun" w:hAnsi="Calibri" w:cs="Calibri"/>
          <w:b/>
          <w:sz w:val="28"/>
          <w:u w:val="single"/>
          <w:lang w:eastAsia="zh-CN" w:bidi="hi-IN"/>
        </w:rPr>
        <w:t xml:space="preserve">Enseignement secondaire </w:t>
      </w:r>
    </w:p>
    <w:p w:rsidR="00172234" w:rsidRPr="00172234" w:rsidRDefault="00172234" w:rsidP="00172234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172234">
        <w:rPr>
          <w:rFonts w:ascii="Calibri" w:eastAsia="SimSun" w:hAnsi="Calibri" w:cs="Calibri"/>
          <w:b/>
          <w:lang w:eastAsia="zh-CN" w:bidi="hi-IN"/>
        </w:rPr>
        <w:t>Périmètre</w:t>
      </w:r>
    </w:p>
    <w:p w:rsidR="00172234" w:rsidRPr="00172234" w:rsidRDefault="00172234" w:rsidP="00172234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Les activités d’enseignement secondaire concernent tous les secteurs d’activités de la section P de la nomenclature NAF et principalement de la sous-section 85 (85.31Z - Enseignement secondaire général et 85.32Z - Enseignement secondaire technique ou professionnel).</w:t>
      </w:r>
    </w:p>
    <w:p w:rsidR="00172234" w:rsidRPr="00172234" w:rsidRDefault="00172234" w:rsidP="00172234">
      <w:pPr>
        <w:widowControl w:val="0"/>
        <w:shd w:val="clear" w:color="auto" w:fill="FFFFFF"/>
        <w:suppressAutoHyphens/>
        <w:autoSpaceDE w:val="0"/>
        <w:spacing w:before="60"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Les activités de l’enseignement secondaire peuvent également héberger des activités supplémentaires (e.g. salle de sport, espaces cultures, etc.) qui relèvent d’autres catégories.</w:t>
      </w:r>
    </w:p>
    <w:p w:rsidR="00172234" w:rsidRPr="00172234" w:rsidRDefault="00172234" w:rsidP="00172234">
      <w:pPr>
        <w:widowControl w:val="0"/>
        <w:suppressAutoHyphens/>
        <w:autoSpaceDE w:val="0"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La segmentation des activités d’enseignement secondaire est déclinée de la façon suivante :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Administration et bureaux (Bureaux Standards)</w:t>
      </w:r>
      <w:r w:rsidRPr="00172234">
        <w:rPr>
          <w:rFonts w:ascii="Calibri" w:eastAsia="Times New Roman" w:hAnsi="Calibri" w:cs="Calibri"/>
          <w:bCs/>
          <w:sz w:val="24"/>
          <w:szCs w:val="24"/>
          <w:lang w:eastAsia="zh-CN"/>
        </w:rPr>
        <w:t>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Collège - Salle d'enseignements généraux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Collège - Salle d'enseignements professionnels adaptés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Lycée d’enseignement général (LG) ou Salle d’enseignement banalisé - Toutes séries confondues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Lycée d’enseignement général et technologique agricole - Lycée d’enseignement professionnel agricole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Lycée d’enseignement professionnel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Etablissement régional d’enseignement adapté</w:t>
      </w:r>
      <w:r w:rsidRPr="00172234" w:rsidDel="00BC50DC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Internat secondaire</w:t>
      </w:r>
      <w:r w:rsidRPr="00172234" w:rsidDel="00BC50DC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Enseignement secondaire - Salle de TP ;</w:t>
      </w:r>
    </w:p>
    <w:p w:rsidR="00172234" w:rsidRPr="00172234" w:rsidRDefault="00172234" w:rsidP="00172234">
      <w:pPr>
        <w:widowControl w:val="0"/>
        <w:numPr>
          <w:ilvl w:val="0"/>
          <w:numId w:val="3"/>
        </w:numPr>
        <w:suppressAutoHyphens/>
        <w:autoSpaceDE w:val="0"/>
        <w:spacing w:before="120"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 xml:space="preserve">Enseignement secondaire - Valeur par défaut. </w:t>
      </w:r>
    </w:p>
    <w:p w:rsidR="00172234" w:rsidRPr="00172234" w:rsidRDefault="00172234" w:rsidP="00172234">
      <w:pPr>
        <w:widowControl w:val="0"/>
        <w:suppressAutoHyphens/>
        <w:autoSpaceDE w:val="0"/>
        <w:spacing w:before="120"/>
        <w:ind w:left="720"/>
        <w:contextualSpacing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72234" w:rsidRPr="00172234" w:rsidRDefault="00172234" w:rsidP="00172234">
      <w:pPr>
        <w:keepNext/>
        <w:keepLines/>
        <w:numPr>
          <w:ilvl w:val="0"/>
          <w:numId w:val="5"/>
        </w:numPr>
        <w:suppressAutoHyphens/>
        <w:autoSpaceDE w:val="0"/>
        <w:spacing w:before="120" w:after="0" w:line="240" w:lineRule="auto"/>
        <w:jc w:val="both"/>
        <w:outlineLvl w:val="4"/>
        <w:rPr>
          <w:rFonts w:ascii="Calibri" w:eastAsia="SimSun" w:hAnsi="Calibri" w:cs="Calibri"/>
          <w:b/>
          <w:lang w:eastAsia="zh-CN" w:bidi="hi-IN"/>
        </w:rPr>
      </w:pPr>
      <w:r w:rsidRPr="00172234">
        <w:rPr>
          <w:rFonts w:ascii="Calibri" w:eastAsia="SimSun" w:hAnsi="Calibri" w:cs="Calibri"/>
          <w:b/>
          <w:lang w:eastAsia="zh-CN" w:bidi="hi-IN"/>
        </w:rPr>
        <w:t xml:space="preserve">Indicateurs d’intensité d’usage </w:t>
      </w:r>
    </w:p>
    <w:p w:rsidR="00172234" w:rsidRPr="00172234" w:rsidRDefault="00172234" w:rsidP="00172234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temporels :</w:t>
      </w:r>
    </w:p>
    <w:p w:rsidR="00172234" w:rsidRPr="00172234" w:rsidRDefault="00172234" w:rsidP="00172234">
      <w:pPr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 xml:space="preserve">L’amplitude horaire annuelle d’utilisation des locaux </w:t>
      </w:r>
      <w:r w:rsidRPr="00172234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Nb_h_ouvrées</w:t>
      </w: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 xml:space="preserve"> (h ouvrées/an) est utilisée comme indicateur d’intensité d’usage temporel. Elle correspond aux heures d’utilisation et d’entretien de ces locaux pour toutes les sous-catégories. Les heures de gardiennage ne sont pas comprises dans cet indicateur.</w:t>
      </w:r>
    </w:p>
    <w:p w:rsidR="00172234" w:rsidRPr="00172234" w:rsidRDefault="00172234" w:rsidP="00172234">
      <w:pPr>
        <w:spacing w:after="0" w:line="240" w:lineRule="auto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  <w:br w:type="page"/>
      </w:r>
    </w:p>
    <w:p w:rsidR="00172234" w:rsidRPr="00172234" w:rsidRDefault="00172234" w:rsidP="00172234">
      <w:pPr>
        <w:suppressAutoHyphens/>
        <w:spacing w:after="0" w:line="257" w:lineRule="auto"/>
        <w:rPr>
          <w:rFonts w:ascii="Calibri" w:eastAsia="Times New Roman" w:hAnsi="Calibri" w:cs="Calibri"/>
          <w:sz w:val="24"/>
          <w:szCs w:val="24"/>
          <w:u w:val="single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u w:val="single"/>
          <w:lang w:eastAsia="zh-CN"/>
        </w:rPr>
        <w:t>Indicateurs d’intensité d’usage surfacique :</w:t>
      </w:r>
    </w:p>
    <w:p w:rsidR="00172234" w:rsidRPr="00172234" w:rsidRDefault="00172234" w:rsidP="00172234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Les indicateurs d’intensité d’usage surfacique sont différenciés selon les sous-catégories :</w:t>
      </w:r>
    </w:p>
    <w:p w:rsidR="00172234" w:rsidRPr="00172234" w:rsidRDefault="00172234" w:rsidP="00172234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>Pour la sous-catégorie « Administration et bureaux (Bureaux Standards) » :</w:t>
      </w:r>
    </w:p>
    <w:p w:rsidR="00172234" w:rsidRPr="00172234" w:rsidRDefault="00172234" w:rsidP="00172234">
      <w:pPr>
        <w:numPr>
          <w:ilvl w:val="1"/>
          <w:numId w:val="2"/>
        </w:numPr>
        <w:suppressAutoHyphens/>
        <w:spacing w:before="120" w:after="0" w:line="240" w:lineRule="auto"/>
        <w:contextualSpacing/>
        <w:jc w:val="both"/>
        <w:rPr>
          <w:rFonts w:ascii="Calibri" w:eastAsia="Times New Roman" w:hAnsi="Calibri" w:cs="Calibri"/>
          <w:sz w:val="24"/>
          <w:lang w:eastAsia="zh-CN"/>
        </w:rPr>
      </w:pPr>
      <w:r w:rsidRPr="00172234">
        <w:rPr>
          <w:rFonts w:ascii="Calibri" w:eastAsia="Times New Roman" w:hAnsi="Calibri" w:cs="Calibri"/>
          <w:sz w:val="24"/>
          <w:lang w:eastAsia="zh-CN"/>
        </w:rPr>
        <w:t xml:space="preserve">La surface de plancher par poste de travail </w:t>
      </w:r>
      <w:r w:rsidRPr="00172234">
        <w:rPr>
          <w:rFonts w:ascii="Calibri" w:eastAsia="Times New Roman" w:hAnsi="Calibri" w:cs="Calibri"/>
          <w:b/>
          <w:bCs/>
          <w:sz w:val="24"/>
          <w:lang w:eastAsia="zh-CN"/>
        </w:rPr>
        <w:t>Surf_poste</w:t>
      </w:r>
      <w:r w:rsidRPr="00172234">
        <w:rPr>
          <w:rFonts w:ascii="Calibri" w:eastAsia="Times New Roman" w:hAnsi="Calibri" w:cs="Calibri"/>
          <w:sz w:val="24"/>
          <w:lang w:eastAsia="zh-CN"/>
        </w:rPr>
        <w:t xml:space="preserve"> (m²/poste), ou surface utile brute, correspondant à la surface de plancher de la sous-catégorie rapportée au nombre de postes de travail.</w:t>
      </w:r>
    </w:p>
    <w:p w:rsidR="00172234" w:rsidRPr="00172234" w:rsidRDefault="00172234" w:rsidP="00172234">
      <w:pPr>
        <w:numPr>
          <w:ilvl w:val="1"/>
          <w:numId w:val="2"/>
        </w:numPr>
        <w:suppressAutoHyphens/>
        <w:spacing w:after="120" w:line="240" w:lineRule="auto"/>
        <w:ind w:left="1434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lang w:eastAsia="zh-CN"/>
        </w:rPr>
        <w:t xml:space="preserve">Le taux d’occupation </w:t>
      </w:r>
      <w:r w:rsidRPr="00172234">
        <w:rPr>
          <w:rFonts w:ascii="Calibri" w:eastAsia="Times New Roman" w:hAnsi="Calibri" w:cs="Calibri"/>
          <w:b/>
          <w:bCs/>
          <w:sz w:val="24"/>
          <w:lang w:eastAsia="zh-CN"/>
        </w:rPr>
        <w:t>T_occ</w:t>
      </w:r>
      <w:r w:rsidRPr="00172234">
        <w:rPr>
          <w:rFonts w:ascii="Calibri" w:eastAsia="Times New Roman" w:hAnsi="Calibri" w:cs="Calibri"/>
          <w:sz w:val="24"/>
          <w:lang w:eastAsia="zh-CN"/>
        </w:rPr>
        <w:t xml:space="preserve"> (%), correspondant à la moyenne de la proportion de postes de travail occupés. La proportion de postes occupés est le nombre de postes occupés sur le nombre de postes total de la sous-catégorie. </w:t>
      </w:r>
    </w:p>
    <w:p w:rsidR="00172234" w:rsidRPr="00172234" w:rsidRDefault="00172234" w:rsidP="00172234">
      <w:pPr>
        <w:suppressAutoHyphens/>
        <w:spacing w:before="120" w:after="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172234" w:rsidRPr="00172234" w:rsidRDefault="00172234" w:rsidP="00172234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 xml:space="preserve">Pour la sous-catégorie « Salle de TP </w:t>
      </w:r>
      <w:r w:rsidRPr="00172234">
        <w:rPr>
          <w:rFonts w:ascii="Calibri" w:eastAsia="Times New Roman" w:hAnsi="Calibri" w:cs="Calibri"/>
          <w:bCs/>
          <w:sz w:val="24"/>
          <w:szCs w:val="24"/>
          <w:lang w:eastAsia="zh-CN"/>
        </w:rPr>
        <w:t>»</w:t>
      </w:r>
      <w:r w:rsidRPr="00172234">
        <w:rPr>
          <w:rFonts w:ascii="Calibri" w:eastAsia="Times New Roman" w:hAnsi="Calibri" w:cs="Calibri"/>
          <w:sz w:val="24"/>
          <w:szCs w:val="24"/>
          <w:lang w:eastAsia="zh-CN"/>
        </w:rPr>
        <w:t xml:space="preserve"> :</w:t>
      </w:r>
    </w:p>
    <w:p w:rsidR="0046580C" w:rsidRDefault="00172234" w:rsidP="00172234">
      <w:r w:rsidRPr="00172234">
        <w:rPr>
          <w:rFonts w:ascii="Calibri" w:eastAsia="Times New Roman" w:hAnsi="Calibri" w:cs="Calibri"/>
          <w:sz w:val="24"/>
          <w:lang w:eastAsia="zh-CN"/>
        </w:rPr>
        <w:t xml:space="preserve">La densité énergétique moyenne </w:t>
      </w:r>
      <w:r w:rsidRPr="00172234">
        <w:rPr>
          <w:rFonts w:ascii="Calibri" w:eastAsia="Times New Roman" w:hAnsi="Calibri" w:cs="Calibri"/>
          <w:b/>
          <w:sz w:val="24"/>
          <w:lang w:eastAsia="zh-CN"/>
        </w:rPr>
        <w:t>DE</w:t>
      </w:r>
      <w:r w:rsidRPr="00172234">
        <w:rPr>
          <w:rFonts w:ascii="Calibri" w:eastAsia="Times New Roman" w:hAnsi="Calibri" w:cs="Calibri"/>
          <w:b/>
          <w:sz w:val="24"/>
          <w:vertAlign w:val="subscript"/>
          <w:lang w:eastAsia="zh-CN"/>
        </w:rPr>
        <w:t>réelle</w:t>
      </w:r>
      <w:r w:rsidRPr="00172234">
        <w:rPr>
          <w:rFonts w:ascii="Calibri" w:eastAsia="Times New Roman" w:hAnsi="Calibri" w:cs="Calibri"/>
          <w:sz w:val="24"/>
          <w:lang w:eastAsia="zh-CN"/>
        </w:rPr>
        <w:t xml:space="preserve"> (kWh/m²/an), prenant en considération les équipements utilisés, leur puissance et leur durée d’utilisation.</w:t>
      </w:r>
      <w:r w:rsidRPr="00172234"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  <w:br w:type="page"/>
      </w:r>
    </w:p>
    <w:sectPr w:rsidR="0046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AA5"/>
    <w:multiLevelType w:val="hybridMultilevel"/>
    <w:tmpl w:val="B7966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121E"/>
    <w:multiLevelType w:val="hybridMultilevel"/>
    <w:tmpl w:val="7124D6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F5A7F"/>
    <w:multiLevelType w:val="hybridMultilevel"/>
    <w:tmpl w:val="C8D63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C5744"/>
    <w:multiLevelType w:val="hybridMultilevel"/>
    <w:tmpl w:val="25A0F3AE"/>
    <w:lvl w:ilvl="0" w:tplc="BB1E25D2">
      <w:start w:val="1"/>
      <w:numFmt w:val="upperRoman"/>
      <w:lvlRestart w:val="0"/>
      <w:lvlText w:val="%1."/>
      <w:lvlJc w:val="righ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7D4334"/>
    <w:multiLevelType w:val="hybridMultilevel"/>
    <w:tmpl w:val="2102BB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79220C4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comments="0" w:formatting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34"/>
    <w:rsid w:val="00172234"/>
    <w:rsid w:val="0039432F"/>
    <w:rsid w:val="0046580C"/>
    <w:rsid w:val="004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4EEAC-5F89-4CA9-A5BD-14FC8B9C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THIEBAUT Aloïs</dc:creator>
  <cp:keywords/>
  <dc:description/>
  <cp:lastModifiedBy>THIEBAUT Aloïs</cp:lastModifiedBy>
  <cp:revision>1</cp:revision>
  <dcterms:created xsi:type="dcterms:W3CDTF">2025-05-07T15:28:00Z</dcterms:created>
  <dcterms:modified xsi:type="dcterms:W3CDTF">2025-05-07T15:28:00Z</dcterms:modified>
</cp:coreProperties>
</file>