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6DC9" w:rsidRPr="00C66DC9" w:rsidRDefault="00C66DC9" w:rsidP="00C66DC9">
      <w:pPr>
        <w:keepNext/>
        <w:keepLines/>
        <w:numPr>
          <w:ilvl w:val="2"/>
          <w:numId w:val="1"/>
        </w:numPr>
        <w:suppressAutoHyphens/>
        <w:spacing w:before="40" w:after="0" w:line="240" w:lineRule="auto"/>
        <w:outlineLvl w:val="2"/>
        <w15:collapsed/>
        <w:rPr>
          <w:rFonts w:ascii="Calibri" w:eastAsia="SimSun" w:hAnsi="Calibri" w:cs="Calibri"/>
          <w:b/>
          <w:sz w:val="28"/>
          <w:u w:val="single"/>
          <w:lang w:eastAsia="zh-CN" w:bidi="hi-IN"/>
        </w:rPr>
      </w:pPr>
      <w:r w:rsidRPr="00C66DC9">
        <w:rPr>
          <w:rFonts w:ascii="Calibri" w:eastAsia="SimSun" w:hAnsi="Calibri" w:cs="Calibri"/>
          <w:b/>
          <w:sz w:val="28"/>
          <w:u w:val="single"/>
          <w:lang w:eastAsia="zh-CN" w:bidi="hi-IN"/>
        </w:rPr>
        <w:t xml:space="preserve">Enseignement primaire </w:t>
      </w:r>
    </w:p>
    <w:p w:rsidR="00C66DC9" w:rsidRPr="00C66DC9" w:rsidRDefault="00C66DC9" w:rsidP="00C66DC9">
      <w:pPr>
        <w:keepNext/>
        <w:keepLines/>
        <w:numPr>
          <w:ilvl w:val="0"/>
          <w:numId w:val="5"/>
        </w:numPr>
        <w:suppressAutoHyphens/>
        <w:autoSpaceDE w:val="0"/>
        <w:spacing w:before="120" w:after="0" w:line="240" w:lineRule="auto"/>
        <w:jc w:val="both"/>
        <w:outlineLvl w:val="4"/>
        <w:rPr>
          <w:rFonts w:ascii="Calibri" w:eastAsia="SimSun" w:hAnsi="Calibri" w:cs="Calibri"/>
          <w:b/>
          <w:lang w:eastAsia="zh-CN" w:bidi="hi-IN"/>
        </w:rPr>
      </w:pPr>
      <w:r w:rsidRPr="00C66DC9">
        <w:rPr>
          <w:rFonts w:ascii="Calibri" w:eastAsia="SimSun" w:hAnsi="Calibri" w:cs="Calibri"/>
          <w:b/>
          <w:lang w:eastAsia="zh-CN" w:bidi="hi-IN"/>
        </w:rPr>
        <w:t>Périmètre</w:t>
      </w:r>
    </w:p>
    <w:p w:rsidR="00C66DC9" w:rsidRPr="00C66DC9" w:rsidRDefault="00C66DC9" w:rsidP="00C66DC9">
      <w:pPr>
        <w:widowControl w:val="0"/>
        <w:suppressAutoHyphens/>
        <w:autoSpaceDE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C66DC9">
        <w:rPr>
          <w:rFonts w:ascii="Calibri" w:eastAsia="Times New Roman" w:hAnsi="Calibri" w:cs="Calibri"/>
          <w:sz w:val="24"/>
          <w:szCs w:val="24"/>
          <w:lang w:eastAsia="zh-CN"/>
        </w:rPr>
        <w:t>Les activités d’enseignement primaire concernent tous les secteurs d’activités de la section P de la nomenclature NAF et principalement de la sous-section 85 (85.10Z - Enseignement pré-primaire et 85.20Z - Enseignement primaire).</w:t>
      </w:r>
    </w:p>
    <w:p w:rsidR="00C66DC9" w:rsidRPr="00C66DC9" w:rsidRDefault="00C66DC9" w:rsidP="00C66DC9">
      <w:pPr>
        <w:widowControl w:val="0"/>
        <w:shd w:val="clear" w:color="auto" w:fill="FFFFFF"/>
        <w:suppressAutoHyphens/>
        <w:autoSpaceDE w:val="0"/>
        <w:spacing w:before="60"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C66DC9">
        <w:rPr>
          <w:rFonts w:ascii="Calibri" w:eastAsia="Times New Roman" w:hAnsi="Calibri" w:cs="Calibri"/>
          <w:sz w:val="24"/>
          <w:szCs w:val="24"/>
          <w:lang w:eastAsia="zh-CN"/>
        </w:rPr>
        <w:t>Les activités de l’enseignement primaire peuvent également héberger des activités supplémentaires (e.g. salle de sport, espaces cultures, etc.) qui relèvent d’autres catégories.</w:t>
      </w:r>
    </w:p>
    <w:p w:rsidR="00C66DC9" w:rsidRPr="00C66DC9" w:rsidRDefault="00C66DC9" w:rsidP="00C66DC9">
      <w:pPr>
        <w:widowControl w:val="0"/>
        <w:suppressAutoHyphens/>
        <w:autoSpaceDE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C66DC9">
        <w:rPr>
          <w:rFonts w:ascii="Calibri" w:eastAsia="Times New Roman" w:hAnsi="Calibri" w:cs="Calibri"/>
          <w:sz w:val="24"/>
          <w:szCs w:val="24"/>
          <w:lang w:eastAsia="zh-CN"/>
        </w:rPr>
        <w:t>La segmentation des activités d’enseignement primaire est déclinée de la façon suivante :</w:t>
      </w:r>
    </w:p>
    <w:p w:rsidR="00C66DC9" w:rsidRPr="00C66DC9" w:rsidRDefault="00C66DC9" w:rsidP="00C66DC9">
      <w:pPr>
        <w:widowControl w:val="0"/>
        <w:numPr>
          <w:ilvl w:val="0"/>
          <w:numId w:val="3"/>
        </w:numPr>
        <w:suppressAutoHyphens/>
        <w:autoSpaceDE w:val="0"/>
        <w:spacing w:before="12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66DC9">
        <w:rPr>
          <w:rFonts w:ascii="Calibri" w:eastAsia="Times New Roman" w:hAnsi="Calibri" w:cs="Calibri"/>
          <w:sz w:val="24"/>
          <w:szCs w:val="24"/>
          <w:lang w:eastAsia="zh-CN"/>
        </w:rPr>
        <w:t>Enseignement primaire - Administration et bureaux (Bureaux Standards)</w:t>
      </w:r>
      <w:r w:rsidRPr="00C66DC9">
        <w:rPr>
          <w:rFonts w:ascii="Calibri" w:eastAsia="Times New Roman" w:hAnsi="Calibri" w:cs="Calibri"/>
          <w:bCs/>
          <w:sz w:val="24"/>
          <w:szCs w:val="24"/>
          <w:lang w:eastAsia="zh-CN"/>
        </w:rPr>
        <w:t> ;</w:t>
      </w:r>
    </w:p>
    <w:p w:rsidR="00C66DC9" w:rsidRPr="00C66DC9" w:rsidRDefault="00C66DC9" w:rsidP="00C66DC9">
      <w:pPr>
        <w:widowControl w:val="0"/>
        <w:numPr>
          <w:ilvl w:val="0"/>
          <w:numId w:val="3"/>
        </w:numPr>
        <w:suppressAutoHyphens/>
        <w:autoSpaceDE w:val="0"/>
        <w:spacing w:before="12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66DC9">
        <w:rPr>
          <w:rFonts w:ascii="Calibri" w:eastAsia="Times New Roman" w:hAnsi="Calibri" w:cs="Calibri"/>
          <w:sz w:val="24"/>
          <w:szCs w:val="24"/>
          <w:lang w:eastAsia="zh-CN"/>
        </w:rPr>
        <w:t>Enseignement Primaire - Salle d'enseignement Maternelle ;</w:t>
      </w:r>
    </w:p>
    <w:p w:rsidR="00C66DC9" w:rsidRPr="00C66DC9" w:rsidRDefault="00C66DC9" w:rsidP="00C66DC9">
      <w:pPr>
        <w:widowControl w:val="0"/>
        <w:numPr>
          <w:ilvl w:val="0"/>
          <w:numId w:val="3"/>
        </w:numPr>
        <w:suppressAutoHyphens/>
        <w:autoSpaceDE w:val="0"/>
        <w:spacing w:before="12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66DC9">
        <w:rPr>
          <w:rFonts w:ascii="Calibri" w:eastAsia="Times New Roman" w:hAnsi="Calibri" w:cs="Calibri"/>
          <w:sz w:val="24"/>
          <w:szCs w:val="24"/>
          <w:lang w:eastAsia="zh-CN"/>
        </w:rPr>
        <w:t>Enseignement Primaire - Salle d'enseignement Elémentaire ;</w:t>
      </w:r>
    </w:p>
    <w:p w:rsidR="00C66DC9" w:rsidRPr="00C66DC9" w:rsidRDefault="00C66DC9" w:rsidP="00C66DC9">
      <w:pPr>
        <w:widowControl w:val="0"/>
        <w:numPr>
          <w:ilvl w:val="0"/>
          <w:numId w:val="3"/>
        </w:numPr>
        <w:suppressAutoHyphens/>
        <w:autoSpaceDE w:val="0"/>
        <w:spacing w:before="12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66DC9">
        <w:rPr>
          <w:rFonts w:ascii="Calibri" w:eastAsia="Times New Roman" w:hAnsi="Calibri" w:cs="Calibri"/>
          <w:sz w:val="24"/>
          <w:szCs w:val="24"/>
          <w:lang w:eastAsia="zh-CN"/>
        </w:rPr>
        <w:t>Enseignement Primaire - Salle multi-activités et Périscolaire ;</w:t>
      </w:r>
    </w:p>
    <w:p w:rsidR="00C66DC9" w:rsidRPr="00C66DC9" w:rsidRDefault="00C66DC9" w:rsidP="00C66DC9">
      <w:pPr>
        <w:widowControl w:val="0"/>
        <w:numPr>
          <w:ilvl w:val="0"/>
          <w:numId w:val="3"/>
        </w:numPr>
        <w:suppressAutoHyphens/>
        <w:autoSpaceDE w:val="0"/>
        <w:spacing w:before="12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66DC9">
        <w:rPr>
          <w:rFonts w:ascii="Calibri" w:eastAsia="Times New Roman" w:hAnsi="Calibri" w:cs="Calibri"/>
          <w:sz w:val="24"/>
          <w:szCs w:val="24"/>
          <w:lang w:eastAsia="zh-CN"/>
        </w:rPr>
        <w:t>Enseignement Primaire - Internat primaire ;</w:t>
      </w:r>
    </w:p>
    <w:p w:rsidR="00C66DC9" w:rsidRPr="00C66DC9" w:rsidRDefault="00C66DC9" w:rsidP="00C66DC9">
      <w:pPr>
        <w:widowControl w:val="0"/>
        <w:numPr>
          <w:ilvl w:val="0"/>
          <w:numId w:val="3"/>
        </w:numPr>
        <w:suppressAutoHyphens/>
        <w:autoSpaceDE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zh-CN"/>
        </w:rPr>
      </w:pPr>
      <w:r w:rsidRPr="00C66DC9">
        <w:rPr>
          <w:rFonts w:ascii="Calibri" w:eastAsia="Times New Roman" w:hAnsi="Calibri" w:cs="Calibri"/>
          <w:sz w:val="24"/>
          <w:szCs w:val="24"/>
          <w:lang w:eastAsia="zh-CN"/>
        </w:rPr>
        <w:t>Enseignement primaire - Valeur par défaut.</w:t>
      </w:r>
    </w:p>
    <w:p w:rsidR="00C66DC9" w:rsidRPr="00C66DC9" w:rsidRDefault="00C66DC9" w:rsidP="00C66DC9">
      <w:pPr>
        <w:widowControl w:val="0"/>
        <w:suppressAutoHyphens/>
        <w:autoSpaceDE w:val="0"/>
        <w:spacing w:before="120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C66DC9" w:rsidRPr="00C66DC9" w:rsidRDefault="00C66DC9" w:rsidP="00C66DC9">
      <w:pPr>
        <w:keepNext/>
        <w:keepLines/>
        <w:numPr>
          <w:ilvl w:val="0"/>
          <w:numId w:val="5"/>
        </w:numPr>
        <w:suppressAutoHyphens/>
        <w:autoSpaceDE w:val="0"/>
        <w:spacing w:before="120" w:after="0" w:line="240" w:lineRule="auto"/>
        <w:jc w:val="both"/>
        <w:outlineLvl w:val="4"/>
        <w:rPr>
          <w:rFonts w:ascii="Calibri" w:eastAsia="SimSun" w:hAnsi="Calibri" w:cs="Calibri"/>
          <w:b/>
          <w:lang w:eastAsia="zh-CN" w:bidi="hi-IN"/>
        </w:rPr>
      </w:pPr>
      <w:r w:rsidRPr="00C66DC9">
        <w:rPr>
          <w:rFonts w:ascii="Calibri" w:eastAsia="SimSun" w:hAnsi="Calibri" w:cs="Calibri"/>
          <w:b/>
          <w:lang w:eastAsia="zh-CN" w:bidi="hi-IN"/>
        </w:rPr>
        <w:t xml:space="preserve">Indicateurs d’intensité d’usage </w:t>
      </w:r>
    </w:p>
    <w:p w:rsidR="00C66DC9" w:rsidRPr="00C66DC9" w:rsidRDefault="00C66DC9" w:rsidP="00C66DC9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zh-CN"/>
        </w:rPr>
      </w:pPr>
      <w:r w:rsidRPr="00C66DC9">
        <w:rPr>
          <w:rFonts w:ascii="Calibri" w:eastAsia="Times New Roman" w:hAnsi="Calibri" w:cs="Calibri"/>
          <w:sz w:val="24"/>
          <w:szCs w:val="24"/>
          <w:u w:val="single"/>
          <w:lang w:eastAsia="zh-CN"/>
        </w:rPr>
        <w:t>Indicateurs d’intensité d’usage temporels :</w:t>
      </w:r>
    </w:p>
    <w:p w:rsidR="00C66DC9" w:rsidRPr="00C66DC9" w:rsidRDefault="00C66DC9" w:rsidP="00C66DC9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C66DC9">
        <w:rPr>
          <w:rFonts w:ascii="Calibri" w:eastAsia="Times New Roman" w:hAnsi="Calibri" w:cs="Calibri"/>
          <w:sz w:val="24"/>
          <w:szCs w:val="24"/>
          <w:lang w:eastAsia="zh-CN"/>
        </w:rPr>
        <w:t xml:space="preserve">L’amplitude horaire annuelle d’utilisation des locaux </w:t>
      </w:r>
      <w:r w:rsidRPr="00C66DC9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Nb_h_ouvrées</w:t>
      </w:r>
      <w:r w:rsidRPr="00C66DC9">
        <w:rPr>
          <w:rFonts w:ascii="Calibri" w:eastAsia="Times New Roman" w:hAnsi="Calibri" w:cs="Calibri"/>
          <w:sz w:val="24"/>
          <w:szCs w:val="24"/>
          <w:lang w:eastAsia="zh-CN"/>
        </w:rPr>
        <w:t xml:space="preserve"> (h ouvrées/an) est utilisée comme indicateur d’intensité d’usage temporel. Elle correspond aux heures d’utilisation et d’entretien de ces locaux pour toutes les sous-catégories. Les heures de gardiennage ne sont pas comprises dans cet indicateur.</w:t>
      </w:r>
    </w:p>
    <w:p w:rsidR="00C66DC9" w:rsidRPr="00C66DC9" w:rsidRDefault="00C66DC9" w:rsidP="00C66DC9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highlight w:val="yellow"/>
          <w:lang w:eastAsia="zh-CN"/>
        </w:rPr>
      </w:pPr>
    </w:p>
    <w:p w:rsidR="00C66DC9" w:rsidRPr="00C66DC9" w:rsidRDefault="00C66DC9" w:rsidP="00C66DC9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zh-CN"/>
        </w:rPr>
      </w:pPr>
      <w:r w:rsidRPr="00C66DC9">
        <w:rPr>
          <w:rFonts w:ascii="Calibri" w:eastAsia="Times New Roman" w:hAnsi="Calibri" w:cs="Calibri"/>
          <w:sz w:val="24"/>
          <w:szCs w:val="24"/>
          <w:u w:val="single"/>
          <w:lang w:eastAsia="zh-CN"/>
        </w:rPr>
        <w:t>Indicateurs d’intensité d’usage surfacique :</w:t>
      </w:r>
    </w:p>
    <w:p w:rsidR="00C66DC9" w:rsidRPr="00C66DC9" w:rsidRDefault="00C66DC9" w:rsidP="00C66DC9">
      <w:pPr>
        <w:suppressAutoHyphens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C66DC9">
        <w:rPr>
          <w:rFonts w:ascii="Calibri" w:eastAsia="Times New Roman" w:hAnsi="Calibri" w:cs="Calibri"/>
          <w:sz w:val="24"/>
          <w:szCs w:val="24"/>
          <w:lang w:eastAsia="zh-CN"/>
        </w:rPr>
        <w:t>Les indicateurs d’intensité d’usage surfacique sont différenciés selon les sous-catégories :</w:t>
      </w:r>
    </w:p>
    <w:p w:rsidR="00C66DC9" w:rsidRPr="00C66DC9" w:rsidRDefault="00C66DC9" w:rsidP="00C66DC9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C66DC9">
        <w:rPr>
          <w:rFonts w:ascii="Calibri" w:eastAsia="Times New Roman" w:hAnsi="Calibri" w:cs="Calibri"/>
          <w:sz w:val="24"/>
          <w:szCs w:val="24"/>
          <w:lang w:eastAsia="zh-CN"/>
        </w:rPr>
        <w:t>Pour la sous-catégorie « Administration et bureaux (Bureaux Standards) » :</w:t>
      </w:r>
    </w:p>
    <w:p w:rsidR="00C66DC9" w:rsidRPr="00C66DC9" w:rsidRDefault="00C66DC9" w:rsidP="00C66DC9">
      <w:pPr>
        <w:numPr>
          <w:ilvl w:val="1"/>
          <w:numId w:val="2"/>
        </w:numPr>
        <w:suppressAutoHyphens/>
        <w:spacing w:before="120" w:after="0" w:line="240" w:lineRule="auto"/>
        <w:contextualSpacing/>
        <w:jc w:val="both"/>
        <w:rPr>
          <w:rFonts w:ascii="Calibri" w:eastAsia="Times New Roman" w:hAnsi="Calibri" w:cs="Calibri"/>
          <w:sz w:val="24"/>
          <w:lang w:eastAsia="zh-CN"/>
        </w:rPr>
      </w:pPr>
      <w:r w:rsidRPr="00C66DC9">
        <w:rPr>
          <w:rFonts w:ascii="Calibri" w:eastAsia="Times New Roman" w:hAnsi="Calibri" w:cs="Calibri"/>
          <w:sz w:val="24"/>
          <w:lang w:eastAsia="zh-CN"/>
        </w:rPr>
        <w:t xml:space="preserve">La surface de plancher par poste de travail </w:t>
      </w:r>
      <w:r w:rsidRPr="00C66DC9">
        <w:rPr>
          <w:rFonts w:ascii="Calibri" w:eastAsia="Times New Roman" w:hAnsi="Calibri" w:cs="Calibri"/>
          <w:b/>
          <w:bCs/>
          <w:sz w:val="24"/>
          <w:lang w:eastAsia="zh-CN"/>
        </w:rPr>
        <w:t>Surf_poste</w:t>
      </w:r>
      <w:r w:rsidRPr="00C66DC9">
        <w:rPr>
          <w:rFonts w:ascii="Calibri" w:eastAsia="Times New Roman" w:hAnsi="Calibri" w:cs="Calibri"/>
          <w:sz w:val="24"/>
          <w:lang w:eastAsia="zh-CN"/>
        </w:rPr>
        <w:t xml:space="preserve"> (m²/poste), ou surface utile brute, correspondant à la surface de plancher de la sous-catégorie rapportée au nombre de postes de travail.</w:t>
      </w:r>
    </w:p>
    <w:p w:rsidR="0046580C" w:rsidRDefault="00C66DC9" w:rsidP="00C66DC9">
      <w:r w:rsidRPr="00C66DC9">
        <w:rPr>
          <w:rFonts w:ascii="Calibri" w:eastAsia="Times New Roman" w:hAnsi="Calibri" w:cs="Calibri"/>
          <w:sz w:val="24"/>
          <w:lang w:eastAsia="zh-CN"/>
        </w:rPr>
        <w:t xml:space="preserve">Le taux d’occupation </w:t>
      </w:r>
      <w:r w:rsidRPr="00C66DC9">
        <w:rPr>
          <w:rFonts w:ascii="Calibri" w:eastAsia="Times New Roman" w:hAnsi="Calibri" w:cs="Calibri"/>
          <w:b/>
          <w:bCs/>
          <w:sz w:val="24"/>
          <w:lang w:eastAsia="zh-CN"/>
        </w:rPr>
        <w:t>T_occ</w:t>
      </w:r>
      <w:r w:rsidRPr="00C66DC9">
        <w:rPr>
          <w:rFonts w:ascii="Calibri" w:eastAsia="Times New Roman" w:hAnsi="Calibri" w:cs="Calibri"/>
          <w:sz w:val="24"/>
          <w:lang w:eastAsia="zh-CN"/>
        </w:rPr>
        <w:t xml:space="preserve"> (%), correspondant à la moyenne de la proportion de postes de travail occupés. La proportion de postes occupés est le nombre de postes occupés sur le nombre de postes total de la sous-catégorie.</w:t>
      </w:r>
    </w:p>
    <w:sectPr w:rsidR="00465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C5AA5"/>
    <w:multiLevelType w:val="hybridMultilevel"/>
    <w:tmpl w:val="B7966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0121E"/>
    <w:multiLevelType w:val="hybridMultilevel"/>
    <w:tmpl w:val="7124D6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F5A7F"/>
    <w:multiLevelType w:val="hybridMultilevel"/>
    <w:tmpl w:val="C8D63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156BD"/>
    <w:multiLevelType w:val="hybridMultilevel"/>
    <w:tmpl w:val="25A0F3AE"/>
    <w:lvl w:ilvl="0" w:tplc="BB1E25D2">
      <w:start w:val="1"/>
      <w:numFmt w:val="upperRoman"/>
      <w:lvlRestart w:val="0"/>
      <w:lvlText w:val="%1."/>
      <w:lvlJc w:val="righ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F7D4334"/>
    <w:multiLevelType w:val="hybridMultilevel"/>
    <w:tmpl w:val="2102BB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A79220C4">
      <w:start w:val="1"/>
      <w:numFmt w:val="decimal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formatting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C9"/>
    <w:rsid w:val="0039432F"/>
    <w:rsid w:val="0046580C"/>
    <w:rsid w:val="004C654F"/>
    <w:rsid w:val="00C6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36194-69DC-4C15-872F-DDE9D119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THIEBAUT Aloïs</dc:creator>
  <cp:keywords/>
  <dc:description/>
  <cp:lastModifiedBy>THIEBAUT Aloïs</cp:lastModifiedBy>
  <cp:revision>1</cp:revision>
  <dcterms:created xsi:type="dcterms:W3CDTF">2025-05-07T15:27:00Z</dcterms:created>
  <dcterms:modified xsi:type="dcterms:W3CDTF">2025-05-07T15:27:00Z</dcterms:modified>
</cp:coreProperties>
</file>