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7F1" w:rsidRPr="007847F1" w:rsidRDefault="007847F1" w:rsidP="007847F1">
      <w:pPr>
        <w:keepNext/>
        <w:keepLines/>
        <w:numPr>
          <w:ilvl w:val="2"/>
          <w:numId w:val="1"/>
        </w:numPr>
        <w:suppressAutoHyphens/>
        <w:spacing w:before="40" w:after="0" w:line="240" w:lineRule="auto"/>
        <w:ind w:left="2336" w:hanging="357"/>
        <w:outlineLvl w:val="2"/>
        <w15:collapsed/>
        <w:rPr>
          <w:rFonts w:ascii="Calibri" w:eastAsia="SimSun" w:hAnsi="Calibri" w:cs="Calibri"/>
          <w:b/>
          <w:sz w:val="28"/>
          <w:u w:val="single"/>
          <w:lang w:eastAsia="zh-CN" w:bidi="hi-IN"/>
        </w:rPr>
      </w:pPr>
      <w:bookmarkStart w:id="0" w:name="_Hlk197528287"/>
      <w:r w:rsidRPr="007847F1">
        <w:rPr>
          <w:rFonts w:ascii="Calibri" w:eastAsia="SimSun" w:hAnsi="Calibri" w:cs="Calibri"/>
          <w:b/>
          <w:sz w:val="28"/>
          <w:u w:val="single"/>
          <w:lang w:eastAsia="zh-CN" w:bidi="hi-IN"/>
        </w:rPr>
        <w:t>Accueil petite enfance</w:t>
      </w:r>
    </w:p>
    <w:p w:rsidR="007847F1" w:rsidRPr="007847F1" w:rsidRDefault="007847F1" w:rsidP="007847F1">
      <w:pPr>
        <w:keepNext/>
        <w:keepLines/>
        <w:numPr>
          <w:ilvl w:val="0"/>
          <w:numId w:val="4"/>
        </w:numPr>
        <w:tabs>
          <w:tab w:val="num" w:pos="720"/>
        </w:tabs>
        <w:suppressAutoHyphens/>
        <w:autoSpaceDE w:val="0"/>
        <w:spacing w:before="120" w:after="0" w:line="240" w:lineRule="auto"/>
        <w:ind w:left="720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7847F1">
        <w:rPr>
          <w:rFonts w:ascii="Calibri" w:eastAsia="SimSun" w:hAnsi="Calibri" w:cs="Calibri"/>
          <w:b/>
          <w:lang w:eastAsia="zh-CN" w:bidi="hi-IN"/>
        </w:rPr>
        <w:t>Périmètre</w:t>
      </w:r>
    </w:p>
    <w:p w:rsidR="007847F1" w:rsidRPr="007847F1" w:rsidRDefault="007847F1" w:rsidP="007847F1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Les activités liées à l’accueil de la petite enfance concernent tous les secteurs d’activités de la section Q de la nomenclature NAF et principalement de la sous-section 88 (88.91A - Santé humaine et action sociale).</w:t>
      </w:r>
    </w:p>
    <w:p w:rsidR="007847F1" w:rsidRPr="007847F1" w:rsidRDefault="007847F1" w:rsidP="007847F1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La segmentation des activités de l’accueil de la petite enfance est déclinée de la façon suivante :</w:t>
      </w:r>
    </w:p>
    <w:p w:rsidR="007847F1" w:rsidRPr="007847F1" w:rsidRDefault="007847F1" w:rsidP="007847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Accueil petite enfance - Administration et bureaux (Bureaux Standards) ;</w:t>
      </w:r>
    </w:p>
    <w:p w:rsidR="007847F1" w:rsidRPr="007847F1" w:rsidRDefault="007847F1" w:rsidP="007847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Accueil petite enfance - Crèche ;</w:t>
      </w:r>
    </w:p>
    <w:p w:rsidR="007847F1" w:rsidRPr="007847F1" w:rsidRDefault="007847F1" w:rsidP="007847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Accueil petite enfance - Halte-garderie ;</w:t>
      </w:r>
    </w:p>
    <w:p w:rsidR="007847F1" w:rsidRPr="007847F1" w:rsidRDefault="007847F1" w:rsidP="007847F1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Accueil petite enfance - Valeur par défaut.</w:t>
      </w:r>
    </w:p>
    <w:p w:rsidR="007847F1" w:rsidRPr="007847F1" w:rsidRDefault="007847F1" w:rsidP="007847F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7847F1" w:rsidRPr="007847F1" w:rsidRDefault="007847F1" w:rsidP="007847F1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7847F1">
        <w:rPr>
          <w:rFonts w:ascii="Calibri" w:eastAsia="SimSun" w:hAnsi="Calibri" w:cs="Calibri"/>
          <w:b/>
          <w:lang w:eastAsia="zh-CN" w:bidi="hi-IN"/>
        </w:rPr>
        <w:t xml:space="preserve">Indicateurs d’intensité d’usage </w:t>
      </w:r>
    </w:p>
    <w:p w:rsidR="007847F1" w:rsidRPr="007847F1" w:rsidRDefault="007847F1" w:rsidP="007847F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temporels :</w:t>
      </w:r>
    </w:p>
    <w:p w:rsidR="007847F1" w:rsidRPr="007847F1" w:rsidRDefault="007847F1" w:rsidP="007847F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 xml:space="preserve">L’amplitude horaire annuelle d’utilisation des locaux </w:t>
      </w:r>
      <w:r w:rsidRPr="007847F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Nb_h_ouvrées</w:t>
      </w: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 xml:space="preserve"> (h ouvrées/an) est utilisée comme indicateur d’intensité d’usage temporel. Elle correspond aux heures d’utilisation et d’entretien de ces locaux pour toutes les sous-catégories. Les heures de gardiennage ne sont pas comprises dans cet indicateur.</w:t>
      </w:r>
    </w:p>
    <w:p w:rsidR="007847F1" w:rsidRPr="007847F1" w:rsidRDefault="007847F1" w:rsidP="007847F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7847F1" w:rsidRPr="007847F1" w:rsidRDefault="007847F1" w:rsidP="007847F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surfacique :</w:t>
      </w:r>
    </w:p>
    <w:p w:rsidR="007847F1" w:rsidRPr="007847F1" w:rsidRDefault="007847F1" w:rsidP="007847F1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Les indicateurs d’intensité d’usage surfacique sont différenciés selon les sous-catégories :</w:t>
      </w:r>
    </w:p>
    <w:p w:rsidR="007847F1" w:rsidRPr="007847F1" w:rsidRDefault="007847F1" w:rsidP="007847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Pour la sous-catégorie « Administration et bureaux (Bureaux Standards) » :</w:t>
      </w:r>
    </w:p>
    <w:p w:rsidR="007847F1" w:rsidRPr="007847F1" w:rsidRDefault="007847F1" w:rsidP="007847F1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7847F1">
        <w:rPr>
          <w:rFonts w:ascii="Calibri" w:eastAsia="Times New Roman" w:hAnsi="Calibri" w:cs="Calibri"/>
          <w:sz w:val="24"/>
          <w:lang w:eastAsia="zh-CN"/>
        </w:rPr>
        <w:t xml:space="preserve">La surface de plancher par poste de travail </w:t>
      </w:r>
      <w:r w:rsidRPr="007847F1">
        <w:rPr>
          <w:rFonts w:ascii="Calibri" w:eastAsia="Times New Roman" w:hAnsi="Calibri" w:cs="Calibri"/>
          <w:b/>
          <w:bCs/>
          <w:sz w:val="24"/>
          <w:lang w:eastAsia="zh-CN"/>
        </w:rPr>
        <w:t>Surf_poste</w:t>
      </w:r>
      <w:r w:rsidRPr="007847F1">
        <w:rPr>
          <w:rFonts w:ascii="Calibri" w:eastAsia="Times New Roman" w:hAnsi="Calibri" w:cs="Calibri"/>
          <w:sz w:val="24"/>
          <w:lang w:eastAsia="zh-CN"/>
        </w:rPr>
        <w:t xml:space="preserve"> (m²/poste), ou surface utile brute, correspondant à la surface de plancher de la sous-catégorie rapportée au nombre de postes de travail.</w:t>
      </w:r>
    </w:p>
    <w:p w:rsidR="007847F1" w:rsidRPr="007847F1" w:rsidRDefault="007847F1" w:rsidP="007847F1">
      <w:pPr>
        <w:numPr>
          <w:ilvl w:val="1"/>
          <w:numId w:val="2"/>
        </w:numPr>
        <w:suppressAutoHyphens/>
        <w:spacing w:after="24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lang w:eastAsia="zh-CN"/>
        </w:rPr>
        <w:t xml:space="preserve">Le taux d’occupation </w:t>
      </w:r>
      <w:r w:rsidRPr="007847F1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7847F1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de postes de travail occupés. La proportion de postes occupés est le nombre de postes occupés sur le nombre de postes total de la sous-catégorie. </w:t>
      </w:r>
    </w:p>
    <w:p w:rsidR="007847F1" w:rsidRPr="007847F1" w:rsidRDefault="007847F1" w:rsidP="007847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847F1">
        <w:rPr>
          <w:rFonts w:ascii="Calibri" w:eastAsia="Times New Roman" w:hAnsi="Calibri" w:cs="Calibri"/>
          <w:sz w:val="24"/>
          <w:szCs w:val="24"/>
          <w:lang w:eastAsia="zh-CN"/>
        </w:rPr>
        <w:t>Pour les sous-catégories « Crèche » et « Halte-garderie » :</w:t>
      </w:r>
    </w:p>
    <w:p w:rsidR="007847F1" w:rsidRPr="007847F1" w:rsidRDefault="007847F1" w:rsidP="007847F1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7847F1">
        <w:rPr>
          <w:rFonts w:ascii="Calibri" w:eastAsia="Times New Roman" w:hAnsi="Calibri" w:cs="Calibri"/>
          <w:sz w:val="24"/>
          <w:lang w:eastAsia="zh-CN"/>
        </w:rPr>
        <w:t xml:space="preserve">La surface théorique par enfant </w:t>
      </w:r>
      <w:r w:rsidRPr="007847F1">
        <w:rPr>
          <w:rFonts w:ascii="Calibri" w:eastAsia="Times New Roman" w:hAnsi="Calibri" w:cs="Calibri"/>
          <w:b/>
          <w:bCs/>
          <w:sz w:val="24"/>
          <w:lang w:eastAsia="zh-CN"/>
        </w:rPr>
        <w:t>Surf_enfant</w:t>
      </w:r>
      <w:r w:rsidRPr="007847F1">
        <w:rPr>
          <w:rFonts w:ascii="Calibri" w:eastAsia="Times New Roman" w:hAnsi="Calibri" w:cs="Calibri"/>
          <w:sz w:val="24"/>
          <w:lang w:eastAsia="zh-CN"/>
        </w:rPr>
        <w:t xml:space="preserve"> (m²/enfant), correspondant à la surface de plancher de la sous-catégorie rapportée à la capacité théorique maximale d’enfants.</w:t>
      </w:r>
    </w:p>
    <w:p w:rsidR="007847F1" w:rsidRPr="007847F1" w:rsidRDefault="007847F1" w:rsidP="007847F1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7847F1">
        <w:rPr>
          <w:rFonts w:ascii="Calibri" w:eastAsia="Times New Roman" w:hAnsi="Calibri" w:cs="Calibri"/>
          <w:sz w:val="24"/>
          <w:lang w:eastAsia="zh-CN"/>
        </w:rPr>
        <w:t xml:space="preserve">Le taux d’occupation </w:t>
      </w:r>
      <w:r w:rsidRPr="007847F1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7847F1">
        <w:rPr>
          <w:rFonts w:ascii="Calibri" w:eastAsia="Times New Roman" w:hAnsi="Calibri" w:cs="Calibri"/>
          <w:sz w:val="24"/>
          <w:lang w:eastAsia="zh-CN"/>
        </w:rPr>
        <w:t xml:space="preserve"> (%), correspondant au nombre moyen d’enfants accueillis rapporté à la capacité théorique maximale d’enfants.</w:t>
      </w:r>
    </w:p>
    <w:bookmarkEnd w:id="0"/>
    <w:p w:rsidR="0046580C" w:rsidRDefault="0046580C"/>
    <w:sectPr w:rsidR="0046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AA5"/>
    <w:multiLevelType w:val="hybridMultilevel"/>
    <w:tmpl w:val="B796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21E"/>
    <w:multiLevelType w:val="hybridMultilevel"/>
    <w:tmpl w:val="7124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A7F"/>
    <w:multiLevelType w:val="hybridMultilevel"/>
    <w:tmpl w:val="C8D6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4334"/>
    <w:multiLevelType w:val="hybridMultilevel"/>
    <w:tmpl w:val="2102B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9220C4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32CC5"/>
    <w:multiLevelType w:val="hybridMultilevel"/>
    <w:tmpl w:val="73585890"/>
    <w:lvl w:ilvl="0" w:tplc="BB1E25D2">
      <w:start w:val="1"/>
      <w:numFmt w:val="upperRoman"/>
      <w:lvlRestart w:val="0"/>
      <w:lvlText w:val="%1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1"/>
    <w:rsid w:val="0039432F"/>
    <w:rsid w:val="0046580C"/>
    <w:rsid w:val="004C654F"/>
    <w:rsid w:val="007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FE8D-A186-421E-9661-99E51ABA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2025-05-07T15:13:00Z</dcterms:created>
  <dcterms:modified xsi:type="dcterms:W3CDTF">2025-05-07T15:13:00Z</dcterms:modified>
</cp:coreProperties>
</file>